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017E1" w14:textId="77777777" w:rsidR="00113C5A" w:rsidRPr="00455A3C" w:rsidRDefault="00113C5A" w:rsidP="00F60A53">
      <w:pPr>
        <w:pStyle w:val="F2-zkladn"/>
        <w:spacing w:line="276" w:lineRule="auto"/>
        <w:rPr>
          <w:b/>
          <w:sz w:val="28"/>
          <w:szCs w:val="28"/>
        </w:rPr>
      </w:pPr>
    </w:p>
    <w:p w14:paraId="0700E8D6" w14:textId="77777777" w:rsidR="00B123FF" w:rsidRPr="00455A3C" w:rsidRDefault="00B123FF" w:rsidP="00F60A53">
      <w:pPr>
        <w:pStyle w:val="F2-zkladn"/>
        <w:spacing w:line="276" w:lineRule="auto"/>
        <w:rPr>
          <w:b/>
          <w:sz w:val="28"/>
          <w:szCs w:val="28"/>
        </w:rPr>
      </w:pPr>
      <w:bookmarkStart w:id="0" w:name="_Hlk104376839"/>
      <w:bookmarkEnd w:id="0"/>
      <w:r w:rsidRPr="00455A3C">
        <w:rPr>
          <w:b/>
          <w:sz w:val="28"/>
          <w:szCs w:val="28"/>
        </w:rPr>
        <w:t xml:space="preserve">TISKOVÁ </w:t>
      </w:r>
      <w:r w:rsidR="00425B35" w:rsidRPr="00455A3C">
        <w:rPr>
          <w:b/>
          <w:sz w:val="28"/>
          <w:szCs w:val="28"/>
        </w:rPr>
        <w:t>ZPRÁVA</w:t>
      </w:r>
    </w:p>
    <w:p w14:paraId="48F101E7" w14:textId="20ABE00E" w:rsidR="000A2833" w:rsidRPr="00455A3C" w:rsidRDefault="00FE3920" w:rsidP="00F60A53">
      <w:pPr>
        <w:pStyle w:val="F2-zkladn"/>
        <w:spacing w:line="276" w:lineRule="auto"/>
        <w:rPr>
          <w:b/>
          <w:sz w:val="28"/>
          <w:szCs w:val="28"/>
        </w:rPr>
      </w:pPr>
      <w:r>
        <w:rPr>
          <w:noProof/>
        </w:rPr>
        <mc:AlternateContent>
          <mc:Choice Requires="wps">
            <w:drawing>
              <wp:inline distT="0" distB="0" distL="0" distR="0" wp14:anchorId="444679BB" wp14:editId="2D7C9D50">
                <wp:extent cx="301625" cy="301625"/>
                <wp:effectExtent l="0" t="0" r="0" b="0"/>
                <wp:docPr id="8"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C8ACE9"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60E2E28B" w14:textId="2D0E205D" w:rsidR="000A2833" w:rsidRPr="00455A3C" w:rsidRDefault="00FE3920" w:rsidP="00F60A53">
      <w:pPr>
        <w:pStyle w:val="F2-zkladn"/>
        <w:tabs>
          <w:tab w:val="right" w:pos="9070"/>
        </w:tabs>
        <w:spacing w:line="276" w:lineRule="auto"/>
      </w:pPr>
      <w:r>
        <w:rPr>
          <w:noProof/>
        </w:rPr>
        <mc:AlternateContent>
          <mc:Choice Requires="wps">
            <w:drawing>
              <wp:inline distT="0" distB="0" distL="0" distR="0" wp14:anchorId="710A2128" wp14:editId="69CA4881">
                <wp:extent cx="301625" cy="301625"/>
                <wp:effectExtent l="0" t="0" r="0" b="0"/>
                <wp:docPr id="7"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8066CC"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t xml:space="preserve">Praha, </w:t>
      </w:r>
      <w:r w:rsidR="0006232D">
        <w:t>15</w:t>
      </w:r>
      <w:r w:rsidR="005420B4">
        <w:t>.</w:t>
      </w:r>
      <w:r w:rsidR="00F60A53">
        <w:t xml:space="preserve"> </w:t>
      </w:r>
      <w:r w:rsidR="00875085">
        <w:t>února</w:t>
      </w:r>
      <w:r w:rsidR="00A30105" w:rsidRPr="00455A3C">
        <w:t xml:space="preserve"> 20</w:t>
      </w:r>
      <w:r w:rsidR="00A7414F" w:rsidRPr="00455A3C">
        <w:t>2</w:t>
      </w:r>
      <w:r w:rsidR="000F274E">
        <w:t>3</w:t>
      </w:r>
    </w:p>
    <w:p w14:paraId="7B19D059" w14:textId="77777777" w:rsidR="000C727D" w:rsidRDefault="000C727D" w:rsidP="00F60A53">
      <w:pPr>
        <w:spacing w:after="120" w:line="276" w:lineRule="auto"/>
        <w:rPr>
          <w:b/>
          <w:sz w:val="28"/>
          <w:szCs w:val="28"/>
        </w:rPr>
      </w:pPr>
    </w:p>
    <w:p w14:paraId="285AEF14" w14:textId="0BD9F929" w:rsidR="00303102" w:rsidRDefault="005C1908" w:rsidP="00F60A53">
      <w:pPr>
        <w:spacing w:after="120" w:line="276" w:lineRule="auto"/>
        <w:rPr>
          <w:b/>
          <w:sz w:val="28"/>
          <w:szCs w:val="28"/>
        </w:rPr>
      </w:pPr>
      <w:proofErr w:type="spellStart"/>
      <w:r>
        <w:rPr>
          <w:b/>
          <w:sz w:val="28"/>
          <w:szCs w:val="28"/>
        </w:rPr>
        <w:t>Fidelity</w:t>
      </w:r>
      <w:proofErr w:type="spellEnd"/>
      <w:r>
        <w:rPr>
          <w:b/>
          <w:sz w:val="28"/>
          <w:szCs w:val="28"/>
        </w:rPr>
        <w:t xml:space="preserve"> International: Společnosti se </w:t>
      </w:r>
      <w:proofErr w:type="gramStart"/>
      <w:r>
        <w:rPr>
          <w:b/>
          <w:sz w:val="28"/>
          <w:szCs w:val="28"/>
        </w:rPr>
        <w:t>drží</w:t>
      </w:r>
      <w:proofErr w:type="gramEnd"/>
      <w:r>
        <w:rPr>
          <w:b/>
          <w:sz w:val="28"/>
          <w:szCs w:val="28"/>
        </w:rPr>
        <w:t xml:space="preserve"> ESG navzdory výzvám </w:t>
      </w:r>
      <w:r w:rsidRPr="005C1908">
        <w:rPr>
          <w:b/>
          <w:sz w:val="28"/>
          <w:szCs w:val="28"/>
        </w:rPr>
        <w:t>–</w:t>
      </w:r>
      <w:r w:rsidRPr="005C1908">
        <w:rPr>
          <w:rFonts w:ascii="Tahoma" w:hAnsi="Tahoma" w:cs="Tahoma"/>
          <w:b/>
          <w:sz w:val="28"/>
          <w:szCs w:val="28"/>
        </w:rPr>
        <w:t>⁠</w:t>
      </w:r>
      <w:r w:rsidRPr="005C1908">
        <w:rPr>
          <w:b/>
          <w:sz w:val="28"/>
          <w:szCs w:val="28"/>
        </w:rPr>
        <w:t xml:space="preserve"> ale jedno </w:t>
      </w:r>
      <w:r>
        <w:rPr>
          <w:b/>
          <w:sz w:val="28"/>
          <w:szCs w:val="28"/>
        </w:rPr>
        <w:t>klíčové slepé místo přetrvává</w:t>
      </w:r>
    </w:p>
    <w:p w14:paraId="36756651" w14:textId="209A43C0" w:rsidR="00875085" w:rsidRPr="00875085" w:rsidRDefault="005C1908" w:rsidP="00875085">
      <w:pPr>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t>Souhrn</w:t>
      </w:r>
      <w:r w:rsidR="00875085" w:rsidRPr="00875085">
        <w:rPr>
          <w:rFonts w:asciiTheme="minorHAnsi" w:eastAsiaTheme="minorHAnsi" w:hAnsiTheme="minorHAnsi" w:cstheme="minorBidi"/>
          <w:b/>
          <w:sz w:val="24"/>
          <w:szCs w:val="24"/>
          <w:lang w:eastAsia="en-US"/>
        </w:rPr>
        <w:t xml:space="preserve">: </w:t>
      </w:r>
      <w:r>
        <w:rPr>
          <w:rFonts w:asciiTheme="minorHAnsi" w:eastAsiaTheme="minorHAnsi" w:hAnsiTheme="minorHAnsi" w:cstheme="minorBidi"/>
          <w:b/>
          <w:sz w:val="24"/>
          <w:szCs w:val="24"/>
          <w:lang w:eastAsia="en-US"/>
        </w:rPr>
        <w:t>Podle</w:t>
      </w:r>
      <w:r w:rsidR="00875085" w:rsidRPr="00875085">
        <w:rPr>
          <w:rFonts w:asciiTheme="minorHAnsi" w:eastAsiaTheme="minorHAnsi" w:hAnsiTheme="minorHAnsi" w:cstheme="minorBidi"/>
          <w:b/>
          <w:sz w:val="24"/>
          <w:szCs w:val="24"/>
          <w:lang w:eastAsia="en-US"/>
        </w:rPr>
        <w:t xml:space="preserve"> </w:t>
      </w:r>
      <w:r>
        <w:rPr>
          <w:rFonts w:asciiTheme="minorHAnsi" w:eastAsiaTheme="minorHAnsi" w:hAnsiTheme="minorHAnsi" w:cstheme="minorBidi"/>
          <w:b/>
          <w:sz w:val="24"/>
          <w:szCs w:val="24"/>
          <w:lang w:eastAsia="en-US"/>
        </w:rPr>
        <w:t xml:space="preserve">průzkumu analytiků společnosti </w:t>
      </w:r>
      <w:proofErr w:type="spellStart"/>
      <w:r>
        <w:rPr>
          <w:rFonts w:asciiTheme="minorHAnsi" w:eastAsiaTheme="minorHAnsi" w:hAnsiTheme="minorHAnsi" w:cstheme="minorBidi"/>
          <w:b/>
          <w:sz w:val="24"/>
          <w:szCs w:val="24"/>
          <w:lang w:eastAsia="en-US"/>
        </w:rPr>
        <w:t>Fidelity</w:t>
      </w:r>
      <w:proofErr w:type="spellEnd"/>
      <w:r>
        <w:rPr>
          <w:rFonts w:asciiTheme="minorHAnsi" w:eastAsiaTheme="minorHAnsi" w:hAnsiTheme="minorHAnsi" w:cstheme="minorBidi"/>
          <w:b/>
          <w:sz w:val="24"/>
          <w:szCs w:val="24"/>
          <w:lang w:eastAsia="en-US"/>
        </w:rPr>
        <w:t xml:space="preserve"> International pro rok 2023 se společnosti i přes ekonomické turbulence </w:t>
      </w:r>
      <w:proofErr w:type="gramStart"/>
      <w:r>
        <w:rPr>
          <w:rFonts w:asciiTheme="minorHAnsi" w:eastAsiaTheme="minorHAnsi" w:hAnsiTheme="minorHAnsi" w:cstheme="minorBidi"/>
          <w:b/>
          <w:sz w:val="24"/>
          <w:szCs w:val="24"/>
          <w:lang w:eastAsia="en-US"/>
        </w:rPr>
        <w:t>drží</w:t>
      </w:r>
      <w:proofErr w:type="gramEnd"/>
      <w:r>
        <w:rPr>
          <w:rFonts w:asciiTheme="minorHAnsi" w:eastAsiaTheme="minorHAnsi" w:hAnsiTheme="minorHAnsi" w:cstheme="minorBidi"/>
          <w:b/>
          <w:sz w:val="24"/>
          <w:szCs w:val="24"/>
          <w:lang w:eastAsia="en-US"/>
        </w:rPr>
        <w:t xml:space="preserve"> důrazu na zásady udržitelného rozvoje. Stále však existuje velký prostor pro zlepšení </w:t>
      </w:r>
      <w:r w:rsidRPr="005C1908">
        <w:rPr>
          <w:rFonts w:asciiTheme="minorHAnsi" w:eastAsiaTheme="minorHAnsi" w:hAnsiTheme="minorHAnsi" w:cstheme="minorBidi"/>
          <w:b/>
          <w:sz w:val="24"/>
          <w:szCs w:val="24"/>
          <w:lang w:eastAsia="en-US"/>
        </w:rPr>
        <w:t>–</w:t>
      </w:r>
      <w:r>
        <w:rPr>
          <w:rFonts w:asciiTheme="minorHAnsi" w:eastAsiaTheme="minorHAnsi" w:hAnsiTheme="minorHAnsi" w:cstheme="minorBidi"/>
          <w:b/>
          <w:sz w:val="24"/>
          <w:szCs w:val="24"/>
          <w:lang w:eastAsia="en-US"/>
        </w:rPr>
        <w:t xml:space="preserve"> zejména pokud jde o zamezení úbytku biologické rozmanitosti.</w:t>
      </w:r>
    </w:p>
    <w:p w14:paraId="7AACB875" w14:textId="78F8B9A2" w:rsidR="00875085" w:rsidRPr="00875085" w:rsidRDefault="005C1908" w:rsidP="00875085">
      <w:pPr>
        <w:rPr>
          <w:i/>
          <w:iCs/>
        </w:rPr>
      </w:pPr>
      <w:proofErr w:type="spellStart"/>
      <w:r>
        <w:rPr>
          <w:i/>
          <w:iCs/>
        </w:rPr>
        <w:t>Jenn-Hui</w:t>
      </w:r>
      <w:proofErr w:type="spellEnd"/>
      <w:r>
        <w:rPr>
          <w:i/>
          <w:iCs/>
        </w:rPr>
        <w:t xml:space="preserve"> </w:t>
      </w:r>
      <w:proofErr w:type="spellStart"/>
      <w:r>
        <w:rPr>
          <w:i/>
          <w:iCs/>
        </w:rPr>
        <w:t>Tan</w:t>
      </w:r>
      <w:proofErr w:type="spellEnd"/>
      <w:r>
        <w:rPr>
          <w:i/>
          <w:iCs/>
        </w:rPr>
        <w:t xml:space="preserve"> a Toby </w:t>
      </w:r>
      <w:proofErr w:type="spellStart"/>
      <w:r>
        <w:rPr>
          <w:i/>
          <w:iCs/>
        </w:rPr>
        <w:t>Sims</w:t>
      </w:r>
      <w:proofErr w:type="spellEnd"/>
    </w:p>
    <w:p w14:paraId="0ABDDED4" w14:textId="3189FFB2" w:rsidR="005C1908" w:rsidRDefault="005C1908" w:rsidP="005C1908">
      <w:r>
        <w:t xml:space="preserve">Válka, inflace, blížící se recese </w:t>
      </w:r>
      <w:r w:rsidRPr="005C1908">
        <w:t>–</w:t>
      </w:r>
      <w:r w:rsidRPr="00790A91">
        <w:t xml:space="preserve"> rok 2022 byl </w:t>
      </w:r>
      <w:r>
        <w:t xml:space="preserve">skutečným testem </w:t>
      </w:r>
      <w:r w:rsidRPr="00790A91">
        <w:t>z</w:t>
      </w:r>
      <w:r>
        <w:t>ávazku společností</w:t>
      </w:r>
      <w:r w:rsidRPr="00790A91">
        <w:t xml:space="preserve"> </w:t>
      </w:r>
      <w:r>
        <w:t>k</w:t>
      </w:r>
      <w:r w:rsidRPr="00790A91">
        <w:t xml:space="preserve"> udržiteln</w:t>
      </w:r>
      <w:r>
        <w:t>ému rozvoji</w:t>
      </w:r>
      <w:r w:rsidRPr="00790A91">
        <w:t xml:space="preserve">, zatímco </w:t>
      </w:r>
      <w:r>
        <w:t>čelily</w:t>
      </w:r>
      <w:r w:rsidRPr="00790A91">
        <w:t xml:space="preserve"> jiným požár</w:t>
      </w:r>
      <w:r>
        <w:t>ům</w:t>
      </w:r>
      <w:r w:rsidRPr="00790A91">
        <w:t>.</w:t>
      </w:r>
    </w:p>
    <w:p w14:paraId="42765087" w14:textId="77777777" w:rsidR="005C1908" w:rsidRDefault="005C1908" w:rsidP="005C1908">
      <w:r>
        <w:t xml:space="preserve">Povzbudivé je, že naprostá většina (90 %) analytiků společnosti </w:t>
      </w:r>
      <w:proofErr w:type="spellStart"/>
      <w:r>
        <w:t>Fidelity</w:t>
      </w:r>
      <w:proofErr w:type="spellEnd"/>
      <w:r>
        <w:t xml:space="preserve"> uvádí, že jimi pokrývané společnosti kladou stejný nebo větší důraz na environmentální, sociální a správní otázky (ESG) než před rokem. V jiných částech průzkumu však zjišťujeme, že v naléhavých otázkách, jako je ochrana oceánů a zamezení odlesňování, mají společnosti velký prostor pro zlepšení. A bez potřebných opatření neuspějeme v boji proti změně klimatu.</w:t>
      </w:r>
    </w:p>
    <w:p w14:paraId="33598D51" w14:textId="31B418C2" w:rsidR="005C1908" w:rsidRPr="006C26EE" w:rsidRDefault="005C1908" w:rsidP="005C1908">
      <w:pPr>
        <w:rPr>
          <w:rFonts w:cstheme="minorHAnsi"/>
          <w:b/>
          <w:bCs/>
        </w:rPr>
      </w:pPr>
      <w:r>
        <w:rPr>
          <w:rFonts w:cstheme="minorHAnsi"/>
          <w:b/>
          <w:bCs/>
        </w:rPr>
        <w:t>ESG stále v kurzu</w:t>
      </w:r>
    </w:p>
    <w:p w14:paraId="12F6D194" w14:textId="437301F0" w:rsidR="005C1908" w:rsidRDefault="005C1908" w:rsidP="005C1908">
      <w:r>
        <w:rPr>
          <w:i/>
          <w:iCs/>
        </w:rPr>
        <w:t>„</w:t>
      </w:r>
      <w:r w:rsidRPr="005C1908">
        <w:rPr>
          <w:i/>
          <w:iCs/>
        </w:rPr>
        <w:t>Rusko-ukrajinský konflikt možná trochu změnil konverzaci,”</w:t>
      </w:r>
      <w:r>
        <w:t xml:space="preserve"> říká jeden analytik zaměřený na odvětví základních materiálů v</w:t>
      </w:r>
      <w:r>
        <w:t> </w:t>
      </w:r>
      <w:r>
        <w:t>Evropě</w:t>
      </w:r>
      <w:r>
        <w:t xml:space="preserve"> </w:t>
      </w:r>
      <w:r w:rsidRPr="005C1908">
        <w:rPr>
          <w:i/>
          <w:iCs/>
        </w:rPr>
        <w:t>„</w:t>
      </w:r>
      <w:r w:rsidRPr="005C1908">
        <w:rPr>
          <w:i/>
          <w:iCs/>
        </w:rPr>
        <w:t>ale pravděpodobně jen zpomalil pokrok v oblasti ESG, nikoliv zvrátil.”</w:t>
      </w:r>
    </w:p>
    <w:p w14:paraId="53F5D573" w14:textId="27D95612" w:rsidR="005C1908" w:rsidRDefault="005C1908" w:rsidP="005C1908">
      <w:r w:rsidRPr="005C1908">
        <w:rPr>
          <w:i/>
          <w:iCs/>
        </w:rPr>
        <w:t>„</w:t>
      </w:r>
      <w:r w:rsidRPr="005C1908">
        <w:rPr>
          <w:i/>
          <w:iCs/>
        </w:rPr>
        <w:t>V podstatě každá společnost má nyní oblast ESG na radaru a stanovuje si ji jako svou prioritu”</w:t>
      </w:r>
      <w:r>
        <w:t xml:space="preserve">, potvrzuje analytik, který se zabývá energetickými společnostmi v asijsko-pacifickém regionu, tedy v odvětví, které v této oblasti tradičně zaostává. </w:t>
      </w:r>
    </w:p>
    <w:p w14:paraId="57C7B6D2" w14:textId="23BD7EAB" w:rsidR="005C1908" w:rsidRDefault="005C1908" w:rsidP="005C1908">
      <w:pPr>
        <w:pStyle w:val="F2-zkladn"/>
      </w:pPr>
    </w:p>
    <w:p w14:paraId="37B11A92" w14:textId="20553293" w:rsidR="005C1908" w:rsidRDefault="005C1908" w:rsidP="005C1908">
      <w:pPr>
        <w:pStyle w:val="F2-zkladn"/>
      </w:pPr>
    </w:p>
    <w:p w14:paraId="7F81FB94" w14:textId="389D563A" w:rsidR="005C1908" w:rsidRDefault="005C1908" w:rsidP="005C1908">
      <w:pPr>
        <w:pStyle w:val="F2-zkladn"/>
      </w:pPr>
    </w:p>
    <w:p w14:paraId="0701B37C" w14:textId="77777777" w:rsidR="005C1908" w:rsidRPr="005C1908" w:rsidRDefault="005C1908" w:rsidP="005C1908">
      <w:pPr>
        <w:pStyle w:val="F2-zkladn"/>
      </w:pPr>
    </w:p>
    <w:p w14:paraId="36E5C592" w14:textId="54B83DEF" w:rsidR="005C1908" w:rsidRPr="006C26EE" w:rsidRDefault="005C1908" w:rsidP="005C1908">
      <w:pPr>
        <w:rPr>
          <w:rFonts w:cstheme="minorHAnsi"/>
          <w:b/>
          <w:bCs/>
        </w:rPr>
      </w:pPr>
      <w:r>
        <w:rPr>
          <w:rFonts w:cstheme="minorHAnsi"/>
          <w:b/>
          <w:bCs/>
        </w:rPr>
        <w:lastRenderedPageBreak/>
        <w:t>Graf 1: Společnosti se i nadále zaměřují na ESG</w:t>
      </w:r>
    </w:p>
    <w:p w14:paraId="3D95E6DC" w14:textId="61B82CFC" w:rsidR="005A77E1" w:rsidRPr="005A77E1" w:rsidRDefault="00DD30AF" w:rsidP="00770E04">
      <w:pPr>
        <w:spacing w:after="240" w:line="360" w:lineRule="auto"/>
        <w:rPr>
          <w:i/>
          <w:iCs/>
          <w:sz w:val="16"/>
          <w:szCs w:val="16"/>
        </w:rPr>
      </w:pPr>
      <w:r w:rsidRPr="00B8393E">
        <w:rPr>
          <w:noProof/>
        </w:rPr>
        <w:drawing>
          <wp:inline distT="0" distB="0" distL="0" distR="0" wp14:anchorId="6E152C14" wp14:editId="3D48F71F">
            <wp:extent cx="4680000" cy="3600000"/>
            <wp:effectExtent l="0" t="0" r="6350" b="635"/>
            <wp:docPr id="1" name="Chart 1">
              <a:extLst xmlns:a="http://schemas.openxmlformats.org/drawingml/2006/main">
                <a:ext uri="{FF2B5EF4-FFF2-40B4-BE49-F238E27FC236}">
                  <a16:creationId xmlns:a16="http://schemas.microsoft.com/office/drawing/2014/main" id="{7E8CF761-2044-4A78-BE15-E84FB0C831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A5457C">
        <w:rPr>
          <w:color w:val="000000" w:themeColor="text1"/>
        </w:rPr>
        <w:br/>
      </w:r>
      <w:r w:rsidR="005A77E1" w:rsidRPr="005A77E1">
        <w:rPr>
          <w:i/>
          <w:iCs/>
          <w:sz w:val="16"/>
          <w:szCs w:val="16"/>
        </w:rPr>
        <w:t>Otázk</w:t>
      </w:r>
      <w:r>
        <w:rPr>
          <w:i/>
          <w:iCs/>
          <w:sz w:val="16"/>
          <w:szCs w:val="16"/>
        </w:rPr>
        <w:t>a</w:t>
      </w:r>
      <w:r w:rsidR="00875085">
        <w:rPr>
          <w:i/>
          <w:iCs/>
          <w:sz w:val="16"/>
          <w:szCs w:val="16"/>
        </w:rPr>
        <w:t>: „</w:t>
      </w:r>
      <w:r>
        <w:rPr>
          <w:i/>
          <w:iCs/>
          <w:sz w:val="16"/>
          <w:szCs w:val="16"/>
        </w:rPr>
        <w:t>Snížil se v posledních 12 měsících mezi vašimi společnostmi důraz na ESG?“</w:t>
      </w:r>
      <w:r w:rsidR="007872F6">
        <w:rPr>
          <w:i/>
          <w:iCs/>
          <w:sz w:val="16"/>
          <w:szCs w:val="16"/>
        </w:rPr>
        <w:t>. Zdroj: Fidelity International Analyst Survey 2023.</w:t>
      </w:r>
    </w:p>
    <w:p w14:paraId="1E58916E" w14:textId="3B4CE59A" w:rsidR="00DD30AF" w:rsidRPr="00DD30AF" w:rsidRDefault="00DD30AF" w:rsidP="00DD30AF">
      <w:pPr>
        <w:rPr>
          <w:rFonts w:cstheme="minorHAnsi"/>
        </w:rPr>
      </w:pPr>
      <w:r w:rsidRPr="00DD30AF">
        <w:rPr>
          <w:rFonts w:cstheme="minorHAnsi"/>
        </w:rPr>
        <w:t xml:space="preserve">Existuje několik </w:t>
      </w:r>
      <w:r w:rsidRPr="00DD30AF">
        <w:rPr>
          <w:rFonts w:cstheme="minorHAnsi"/>
        </w:rPr>
        <w:t>výjimek</w:t>
      </w:r>
      <w:r w:rsidRPr="00DD30AF">
        <w:rPr>
          <w:rFonts w:cstheme="minorHAnsi"/>
        </w:rPr>
        <w:t xml:space="preserve">. Téměř polovina analytiků regionu EMEA / Latinská Amerika uvádí, že jimi pokrývané společnosti kladou menší důraz na ESG než před rokem. Jedna analytička z průmyslového odvětví vysvětluje, že společnosti, které pokrývá, “se zkrátka </w:t>
      </w:r>
      <w:proofErr w:type="gramStart"/>
      <w:r w:rsidRPr="00DD30AF">
        <w:rPr>
          <w:rFonts w:cstheme="minorHAnsi"/>
        </w:rPr>
        <w:t>snaží</w:t>
      </w:r>
      <w:proofErr w:type="gramEnd"/>
      <w:r w:rsidRPr="00DD30AF">
        <w:rPr>
          <w:rFonts w:cstheme="minorHAnsi"/>
        </w:rPr>
        <w:t xml:space="preserve"> udržet nad vodou”, a proto “ESG ustoupilo do pozadí”.  </w:t>
      </w:r>
    </w:p>
    <w:p w14:paraId="7D49A601" w14:textId="37C40083" w:rsidR="00DD30AF" w:rsidRPr="00DD30AF" w:rsidRDefault="00DD30AF" w:rsidP="00DD30AF">
      <w:pPr>
        <w:rPr>
          <w:rFonts w:cstheme="minorHAnsi"/>
        </w:rPr>
      </w:pPr>
      <w:r>
        <w:rPr>
          <w:rFonts w:cstheme="minorHAnsi"/>
          <w:i/>
          <w:iCs/>
        </w:rPr>
        <w:t>„</w:t>
      </w:r>
      <w:r w:rsidRPr="00DD30AF">
        <w:rPr>
          <w:rFonts w:cstheme="minorHAnsi"/>
          <w:i/>
          <w:iCs/>
        </w:rPr>
        <w:t>Existují naléhavější problémy, o kterých je třeba mluvit”</w:t>
      </w:r>
      <w:r w:rsidRPr="00DD30AF">
        <w:rPr>
          <w:rFonts w:cstheme="minorHAnsi"/>
        </w:rPr>
        <w:t xml:space="preserve"> dodává další analytik z regionu EMEA / Latinská Amerika s odkazem na rozhovory se společnostmi z finančního sektoru, se kterými je v regionu v kontaktu. </w:t>
      </w:r>
    </w:p>
    <w:p w14:paraId="4318F344" w14:textId="35213D04" w:rsidR="00DD30AF" w:rsidRDefault="00DD30AF" w:rsidP="00DD30AF">
      <w:pPr>
        <w:rPr>
          <w:color w:val="000000"/>
        </w:rPr>
      </w:pPr>
      <w:bookmarkStart w:id="1" w:name="_Hlk126584925"/>
      <w:r>
        <w:t xml:space="preserve">Tento názor se sporadicky opakuje i v regionech, kde je oblast ESG více zavedená. Jeden z analytiků, který se zabývá evropskými průmyslovými podniky, uvádí: </w:t>
      </w:r>
      <w:r w:rsidRPr="00DD30AF">
        <w:rPr>
          <w:i/>
          <w:iCs/>
        </w:rPr>
        <w:t>„</w:t>
      </w:r>
      <w:r w:rsidRPr="00DD30AF">
        <w:rPr>
          <w:i/>
          <w:iCs/>
        </w:rPr>
        <w:t>Společnosti věnují více pozornosti dodavatelským řetězcům, inflaci a dalším záležitostem”</w:t>
      </w:r>
      <w:r>
        <w:t xml:space="preserve">. </w:t>
      </w:r>
    </w:p>
    <w:p w14:paraId="30BCE771" w14:textId="77777777" w:rsidR="00DD30AF" w:rsidRDefault="00DD30AF" w:rsidP="00DD30AF">
      <w:r w:rsidRPr="00DD30AF">
        <w:t xml:space="preserve">Celkově, však, s odkazem na jednoho IT analytika: </w:t>
      </w:r>
      <w:r w:rsidRPr="00DD30AF">
        <w:rPr>
          <w:i/>
          <w:iCs/>
        </w:rPr>
        <w:t>„</w:t>
      </w:r>
      <w:r w:rsidRPr="00DD30AF">
        <w:rPr>
          <w:i/>
          <w:iCs/>
        </w:rPr>
        <w:t>Společnosti zjevně zlepšují svou komunikaci v oblasti ESG, pravděpodobně v reakci na zvýšenou pozornost investorů”.</w:t>
      </w:r>
      <w:r w:rsidRPr="00DD30AF">
        <w:t xml:space="preserve"> </w:t>
      </w:r>
      <w:bookmarkEnd w:id="1"/>
    </w:p>
    <w:p w14:paraId="055C3F0E" w14:textId="3B7CE820" w:rsidR="00054785" w:rsidRDefault="00DD30AF" w:rsidP="00DD30AF">
      <w:r>
        <w:rPr>
          <w:b/>
          <w:bCs/>
        </w:rPr>
        <w:t>Uhlíková neutralita zůstává pro většinu stále vzdáleným cílem, ale společnosti jednají</w:t>
      </w:r>
    </w:p>
    <w:p w14:paraId="128269DD" w14:textId="104C9BEF" w:rsidR="00DD30AF" w:rsidRDefault="00DD30AF" w:rsidP="00DD30AF">
      <w:pPr>
        <w:rPr>
          <w:color w:val="000000"/>
        </w:rPr>
      </w:pPr>
      <w:r>
        <w:rPr>
          <w:color w:val="000000"/>
        </w:rPr>
        <w:t xml:space="preserve">Mluvit o ESG je jedna věc. Jiná věc je promítnout to do skutečného pokroku. Jak ukazuje graf 2, na globální úrovni naši analytici očekávají, že do roku 2030 bude pouze 22 % společností, které pokrývají, uhlíkově neutrálních. To je procentuální podíl, který se oproti loňskému roku nezměnil.   </w:t>
      </w:r>
    </w:p>
    <w:p w14:paraId="10E18686" w14:textId="77777777" w:rsidR="00DD30AF" w:rsidRDefault="00DD30AF" w:rsidP="00A745E5">
      <w:pPr>
        <w:rPr>
          <w:rFonts w:cstheme="minorHAnsi"/>
          <w:b/>
          <w:bCs/>
        </w:rPr>
      </w:pPr>
    </w:p>
    <w:p w14:paraId="2ED25EAA" w14:textId="2176A0BA" w:rsidR="00A745E5" w:rsidRPr="006C26EE" w:rsidRDefault="00DD30AF" w:rsidP="00A745E5">
      <w:pPr>
        <w:rPr>
          <w:rFonts w:cstheme="minorHAnsi"/>
          <w:b/>
          <w:bCs/>
        </w:rPr>
      </w:pPr>
      <w:r>
        <w:rPr>
          <w:noProof/>
        </w:rPr>
        <w:lastRenderedPageBreak/>
        <w:drawing>
          <wp:anchor distT="0" distB="0" distL="114300" distR="114300" simplePos="0" relativeHeight="251658240" behindDoc="0" locked="0" layoutInCell="1" allowOverlap="1" wp14:anchorId="3165BD53" wp14:editId="78BB3AAA">
            <wp:simplePos x="0" y="0"/>
            <wp:positionH relativeFrom="margin">
              <wp:posOffset>68580</wp:posOffset>
            </wp:positionH>
            <wp:positionV relativeFrom="paragraph">
              <wp:posOffset>320040</wp:posOffset>
            </wp:positionV>
            <wp:extent cx="5086350" cy="340042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086350" cy="3400425"/>
                    </a:xfrm>
                    <a:prstGeom prst="rect">
                      <a:avLst/>
                    </a:prstGeom>
                  </pic:spPr>
                </pic:pic>
              </a:graphicData>
            </a:graphic>
          </wp:anchor>
        </w:drawing>
      </w:r>
      <w:r>
        <w:rPr>
          <w:rFonts w:cstheme="minorHAnsi"/>
          <w:b/>
          <w:bCs/>
        </w:rPr>
        <w:t>Graf 2: Očekává se, že do roku 2030 dosáhne méně než čtvrtina společností uhlíkové neutrality</w:t>
      </w:r>
    </w:p>
    <w:p w14:paraId="257E18D3" w14:textId="495FC409" w:rsidR="00DD30AF" w:rsidRPr="00DD30AF" w:rsidRDefault="00DD30AF" w:rsidP="00DD30AF">
      <w:pPr>
        <w:rPr>
          <w:i/>
          <w:iCs/>
          <w:sz w:val="16"/>
          <w:szCs w:val="16"/>
        </w:rPr>
      </w:pPr>
      <w:r w:rsidRPr="00DD30AF">
        <w:rPr>
          <w:i/>
          <w:iCs/>
          <w:sz w:val="16"/>
          <w:szCs w:val="16"/>
        </w:rPr>
        <w:t xml:space="preserve">Otázka: </w:t>
      </w:r>
      <w:r>
        <w:rPr>
          <w:i/>
          <w:iCs/>
          <w:sz w:val="16"/>
          <w:szCs w:val="16"/>
        </w:rPr>
        <w:t>„</w:t>
      </w:r>
      <w:r w:rsidRPr="00DD30AF">
        <w:rPr>
          <w:i/>
          <w:iCs/>
          <w:sz w:val="16"/>
          <w:szCs w:val="16"/>
        </w:rPr>
        <w:t xml:space="preserve">Jaké procento vámi pokrývaných společností dosáhne podle vašeho odhadu do roku </w:t>
      </w:r>
      <w:proofErr w:type="gramStart"/>
      <w:r w:rsidRPr="00DD30AF">
        <w:rPr>
          <w:i/>
          <w:iCs/>
          <w:sz w:val="16"/>
          <w:szCs w:val="16"/>
        </w:rPr>
        <w:t>2030  (</w:t>
      </w:r>
      <w:proofErr w:type="gramEnd"/>
      <w:r w:rsidRPr="00DD30AF">
        <w:rPr>
          <w:i/>
          <w:iCs/>
          <w:sz w:val="16"/>
          <w:szCs w:val="16"/>
        </w:rPr>
        <w:t xml:space="preserve">rozsah 1,2 a 3) uhlíkové neutrality?” </w:t>
      </w:r>
    </w:p>
    <w:p w14:paraId="168DF066" w14:textId="77777777" w:rsidR="00DD30AF" w:rsidRPr="00DD30AF" w:rsidRDefault="00DD30AF" w:rsidP="00DD30AF">
      <w:pPr>
        <w:rPr>
          <w:color w:val="000000"/>
        </w:rPr>
      </w:pPr>
      <w:r w:rsidRPr="00DD30AF">
        <w:rPr>
          <w:color w:val="000000"/>
        </w:rPr>
        <w:t xml:space="preserve">Jak jsme uvedli v loňském průzkumu, společnosti stále lépe vyhodnocují, co je nezbytné k dosažení cíle uhlíkové neutrality. Nedostatečná změna v tomto čísle tak maskuje velký progres pod povrchem. </w:t>
      </w:r>
    </w:p>
    <w:p w14:paraId="5153D190" w14:textId="70634513" w:rsidR="00DD30AF" w:rsidRPr="00DD30AF" w:rsidRDefault="00DD30AF" w:rsidP="00DD30AF">
      <w:pPr>
        <w:rPr>
          <w:color w:val="000000"/>
        </w:rPr>
      </w:pPr>
      <w:r w:rsidRPr="00DD30AF">
        <w:rPr>
          <w:color w:val="000000"/>
        </w:rPr>
        <w:t xml:space="preserve">Jeden z analytiků, který se zabývá severoamerickým sektorem spotřebního zboží, nám v odpovědi na průzkum 2023 sdělil: </w:t>
      </w:r>
      <w:r>
        <w:rPr>
          <w:i/>
          <w:iCs/>
          <w:color w:val="000000"/>
        </w:rPr>
        <w:t>„</w:t>
      </w:r>
      <w:r w:rsidRPr="00DD30AF">
        <w:rPr>
          <w:i/>
          <w:iCs/>
          <w:color w:val="000000"/>
        </w:rPr>
        <w:t xml:space="preserve">Každým rokem společnosti čerpají vice poznatků a ve větší míře komunikují o ESG. Přestože to stále není pro většinu společností, které pokrývám, hlavní téma, je to oblast, o které </w:t>
      </w:r>
      <w:proofErr w:type="gramStart"/>
      <w:r w:rsidRPr="00DD30AF">
        <w:rPr>
          <w:i/>
          <w:iCs/>
          <w:color w:val="000000"/>
        </w:rPr>
        <w:t>dokáží</w:t>
      </w:r>
      <w:proofErr w:type="gramEnd"/>
      <w:r w:rsidRPr="00DD30AF">
        <w:rPr>
          <w:i/>
          <w:iCs/>
          <w:color w:val="000000"/>
        </w:rPr>
        <w:t xml:space="preserve"> lépe přemýšlet a mluvit”.</w:t>
      </w:r>
      <w:r w:rsidRPr="00DD30AF">
        <w:rPr>
          <w:color w:val="000000"/>
        </w:rPr>
        <w:t xml:space="preserve"> </w:t>
      </w:r>
    </w:p>
    <w:p w14:paraId="687BE970" w14:textId="4B2793EF" w:rsidR="00DD30AF" w:rsidRDefault="00DD30AF" w:rsidP="00DD30AF">
      <w:r>
        <w:t>Společnosti rovněž podnikají aktivní kroky ke zlepšení svých referencí v oblasti ESG. Jak ukazuje graf 3, v</w:t>
      </w:r>
      <w:r>
        <w:t>í</w:t>
      </w:r>
      <w:r>
        <w:t xml:space="preserve">ce než polovina našich analytiků tvrdí, že většina jimi pokrývaných společností lépe komunikuje i realizuje politiku ESG než před rokem. Většina ostatních pak vidí zlepšení alespoň v některých dílčích oblastech. Zajímavé je, že náš průzkum také zjistil, že se silně překrývají společnosti, které o svých zásadách ESG informují a ty, které je dodržují a realizují. </w:t>
      </w:r>
    </w:p>
    <w:p w14:paraId="6AF126F8" w14:textId="77777777" w:rsidR="00D454D4" w:rsidRDefault="00D454D4" w:rsidP="00D454D4">
      <w:pPr>
        <w:numPr>
          <w:ilvl w:val="0"/>
          <w:numId w:val="24"/>
        </w:numPr>
        <w:spacing w:before="0" w:line="240" w:lineRule="auto"/>
        <w:jc w:val="left"/>
        <w:rPr>
          <w:i/>
          <w:iCs/>
          <w:color w:val="000000"/>
        </w:rPr>
      </w:pPr>
    </w:p>
    <w:p w14:paraId="451579D8" w14:textId="77777777" w:rsidR="00D454D4" w:rsidRDefault="00D454D4" w:rsidP="00D454D4">
      <w:pPr>
        <w:numPr>
          <w:ilvl w:val="0"/>
          <w:numId w:val="24"/>
        </w:numPr>
        <w:spacing w:before="0" w:line="240" w:lineRule="auto"/>
        <w:jc w:val="left"/>
        <w:rPr>
          <w:i/>
          <w:iCs/>
          <w:color w:val="000000"/>
        </w:rPr>
      </w:pPr>
    </w:p>
    <w:p w14:paraId="10BC193A" w14:textId="77777777" w:rsidR="00D454D4" w:rsidRDefault="00D454D4" w:rsidP="00D454D4">
      <w:pPr>
        <w:numPr>
          <w:ilvl w:val="0"/>
          <w:numId w:val="24"/>
        </w:numPr>
        <w:spacing w:before="0" w:line="240" w:lineRule="auto"/>
        <w:jc w:val="left"/>
        <w:rPr>
          <w:i/>
          <w:iCs/>
          <w:color w:val="000000"/>
        </w:rPr>
      </w:pPr>
    </w:p>
    <w:p w14:paraId="492892EB" w14:textId="77777777" w:rsidR="00D454D4" w:rsidRDefault="00D454D4" w:rsidP="00D454D4">
      <w:pPr>
        <w:numPr>
          <w:ilvl w:val="0"/>
          <w:numId w:val="24"/>
        </w:numPr>
        <w:spacing w:before="0" w:line="240" w:lineRule="auto"/>
        <w:jc w:val="left"/>
        <w:rPr>
          <w:i/>
          <w:iCs/>
          <w:color w:val="000000"/>
        </w:rPr>
      </w:pPr>
    </w:p>
    <w:p w14:paraId="6FD8623F" w14:textId="77777777" w:rsidR="00D454D4" w:rsidRDefault="00D454D4" w:rsidP="00D454D4">
      <w:pPr>
        <w:numPr>
          <w:ilvl w:val="0"/>
          <w:numId w:val="24"/>
        </w:numPr>
        <w:spacing w:before="0" w:line="240" w:lineRule="auto"/>
        <w:jc w:val="left"/>
        <w:rPr>
          <w:i/>
          <w:iCs/>
          <w:color w:val="000000"/>
        </w:rPr>
      </w:pPr>
    </w:p>
    <w:p w14:paraId="71FAD40A" w14:textId="77777777" w:rsidR="00D454D4" w:rsidRDefault="00D454D4" w:rsidP="00D454D4">
      <w:pPr>
        <w:numPr>
          <w:ilvl w:val="0"/>
          <w:numId w:val="24"/>
        </w:numPr>
        <w:spacing w:before="0" w:line="240" w:lineRule="auto"/>
        <w:jc w:val="left"/>
        <w:rPr>
          <w:i/>
          <w:iCs/>
          <w:color w:val="000000"/>
        </w:rPr>
      </w:pPr>
    </w:p>
    <w:p w14:paraId="6D07AE59" w14:textId="77777777" w:rsidR="00D454D4" w:rsidRDefault="00D454D4" w:rsidP="00D454D4">
      <w:pPr>
        <w:numPr>
          <w:ilvl w:val="0"/>
          <w:numId w:val="24"/>
        </w:numPr>
        <w:spacing w:before="0" w:line="240" w:lineRule="auto"/>
        <w:jc w:val="left"/>
        <w:rPr>
          <w:i/>
          <w:iCs/>
          <w:color w:val="000000"/>
        </w:rPr>
      </w:pPr>
    </w:p>
    <w:p w14:paraId="73BAE3AF" w14:textId="77777777" w:rsidR="00D454D4" w:rsidRDefault="00D454D4" w:rsidP="00D454D4">
      <w:pPr>
        <w:numPr>
          <w:ilvl w:val="0"/>
          <w:numId w:val="24"/>
        </w:numPr>
        <w:spacing w:before="0" w:line="240" w:lineRule="auto"/>
        <w:jc w:val="left"/>
        <w:rPr>
          <w:i/>
          <w:iCs/>
          <w:color w:val="000000"/>
        </w:rPr>
      </w:pPr>
    </w:p>
    <w:p w14:paraId="7F8CB01A" w14:textId="77777777" w:rsidR="00D454D4" w:rsidRDefault="00D454D4" w:rsidP="00D454D4">
      <w:pPr>
        <w:numPr>
          <w:ilvl w:val="0"/>
          <w:numId w:val="24"/>
        </w:numPr>
        <w:spacing w:before="0" w:line="240" w:lineRule="auto"/>
        <w:jc w:val="left"/>
        <w:rPr>
          <w:i/>
          <w:iCs/>
          <w:color w:val="000000"/>
        </w:rPr>
      </w:pPr>
    </w:p>
    <w:p w14:paraId="45CCB1B4" w14:textId="77777777" w:rsidR="00D454D4" w:rsidRDefault="00D454D4" w:rsidP="00D454D4">
      <w:pPr>
        <w:numPr>
          <w:ilvl w:val="0"/>
          <w:numId w:val="24"/>
        </w:numPr>
        <w:spacing w:before="0" w:line="240" w:lineRule="auto"/>
        <w:jc w:val="left"/>
        <w:rPr>
          <w:i/>
          <w:iCs/>
          <w:color w:val="000000"/>
        </w:rPr>
      </w:pPr>
    </w:p>
    <w:p w14:paraId="5E3D5DDA" w14:textId="77777777" w:rsidR="00D454D4" w:rsidRDefault="00D454D4" w:rsidP="00D454D4">
      <w:pPr>
        <w:numPr>
          <w:ilvl w:val="0"/>
          <w:numId w:val="24"/>
        </w:numPr>
        <w:spacing w:before="0" w:line="240" w:lineRule="auto"/>
        <w:jc w:val="left"/>
        <w:rPr>
          <w:i/>
          <w:iCs/>
          <w:color w:val="000000"/>
        </w:rPr>
      </w:pPr>
    </w:p>
    <w:p w14:paraId="6EDE3664" w14:textId="77777777" w:rsidR="00D454D4" w:rsidRDefault="00D454D4" w:rsidP="00D454D4">
      <w:pPr>
        <w:numPr>
          <w:ilvl w:val="0"/>
          <w:numId w:val="24"/>
        </w:numPr>
        <w:spacing w:before="0" w:line="240" w:lineRule="auto"/>
        <w:jc w:val="left"/>
        <w:rPr>
          <w:i/>
          <w:iCs/>
          <w:color w:val="000000"/>
        </w:rPr>
      </w:pPr>
    </w:p>
    <w:p w14:paraId="7E04BC6E" w14:textId="77777777" w:rsidR="00D454D4" w:rsidRDefault="00D454D4" w:rsidP="00D454D4">
      <w:pPr>
        <w:numPr>
          <w:ilvl w:val="0"/>
          <w:numId w:val="24"/>
        </w:numPr>
        <w:spacing w:before="0" w:line="240" w:lineRule="auto"/>
        <w:jc w:val="left"/>
        <w:rPr>
          <w:i/>
          <w:iCs/>
          <w:color w:val="000000"/>
        </w:rPr>
      </w:pPr>
    </w:p>
    <w:p w14:paraId="06DD85CE" w14:textId="77777777" w:rsidR="00D454D4" w:rsidRDefault="00D454D4" w:rsidP="00D454D4">
      <w:pPr>
        <w:numPr>
          <w:ilvl w:val="0"/>
          <w:numId w:val="24"/>
        </w:numPr>
        <w:spacing w:before="0" w:line="240" w:lineRule="auto"/>
        <w:jc w:val="left"/>
        <w:rPr>
          <w:i/>
          <w:iCs/>
          <w:color w:val="000000"/>
        </w:rPr>
      </w:pPr>
    </w:p>
    <w:p w14:paraId="190284E8" w14:textId="2F3F46F7" w:rsidR="00D454D4" w:rsidRDefault="00D454D4" w:rsidP="00D454D4">
      <w:pPr>
        <w:numPr>
          <w:ilvl w:val="0"/>
          <w:numId w:val="24"/>
        </w:numPr>
        <w:spacing w:before="0" w:line="240" w:lineRule="auto"/>
        <w:jc w:val="left"/>
        <w:rPr>
          <w:i/>
          <w:iCs/>
          <w:color w:val="000000"/>
        </w:rPr>
      </w:pPr>
      <w:r>
        <w:rPr>
          <w:noProof/>
        </w:rPr>
        <w:lastRenderedPageBreak/>
        <w:drawing>
          <wp:anchor distT="0" distB="0" distL="114300" distR="114300" simplePos="0" relativeHeight="251659264" behindDoc="0" locked="0" layoutInCell="1" allowOverlap="1" wp14:anchorId="76B84B08" wp14:editId="229BDD55">
            <wp:simplePos x="0" y="0"/>
            <wp:positionH relativeFrom="column">
              <wp:posOffset>-115570</wp:posOffset>
            </wp:positionH>
            <wp:positionV relativeFrom="paragraph">
              <wp:posOffset>0</wp:posOffset>
            </wp:positionV>
            <wp:extent cx="5731510" cy="3820795"/>
            <wp:effectExtent l="0" t="0" r="2540"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anchor>
        </w:drawing>
      </w:r>
    </w:p>
    <w:p w14:paraId="2A283955" w14:textId="5E919D69" w:rsidR="00D454D4" w:rsidRPr="00D454D4" w:rsidRDefault="00D454D4" w:rsidP="00D454D4">
      <w:pPr>
        <w:spacing w:before="0" w:line="240" w:lineRule="auto"/>
        <w:ind w:left="720"/>
        <w:rPr>
          <w:i/>
          <w:iCs/>
          <w:sz w:val="16"/>
          <w:szCs w:val="16"/>
        </w:rPr>
      </w:pPr>
      <w:r w:rsidRPr="00D454D4">
        <w:rPr>
          <w:i/>
          <w:iCs/>
          <w:sz w:val="16"/>
          <w:szCs w:val="16"/>
        </w:rPr>
        <w:t xml:space="preserve">Otázka: </w:t>
      </w:r>
      <w:r>
        <w:rPr>
          <w:i/>
          <w:iCs/>
          <w:sz w:val="16"/>
          <w:szCs w:val="16"/>
        </w:rPr>
        <w:t>„</w:t>
      </w:r>
      <w:r w:rsidRPr="00D454D4">
        <w:rPr>
          <w:i/>
          <w:iCs/>
          <w:sz w:val="16"/>
          <w:szCs w:val="16"/>
        </w:rPr>
        <w:t xml:space="preserve">Všimli jste si v posledním roce rostoucího důrazu u vámi pokrývaných společností na komunikaci zásad ESG?” a </w:t>
      </w:r>
      <w:r>
        <w:rPr>
          <w:i/>
          <w:iCs/>
          <w:sz w:val="16"/>
          <w:szCs w:val="16"/>
        </w:rPr>
        <w:t>„</w:t>
      </w:r>
      <w:r w:rsidRPr="00D454D4">
        <w:rPr>
          <w:i/>
          <w:iCs/>
          <w:sz w:val="16"/>
          <w:szCs w:val="16"/>
        </w:rPr>
        <w:t>Všimli jste si v posledním roce rostoucího důrazu u vámi pokrývaných společností na implementaci principů ESG”. Graf ukazuje procento analytiků, kteří uvádějí rostoucí důraz u většiny svých společností v posledním roce.</w:t>
      </w:r>
    </w:p>
    <w:p w14:paraId="19A4BC0E" w14:textId="77777777" w:rsidR="00D454D4" w:rsidRPr="00D454D4" w:rsidRDefault="00D454D4" w:rsidP="00D454D4">
      <w:pPr>
        <w:rPr>
          <w:i/>
          <w:iCs/>
        </w:rPr>
      </w:pPr>
      <w:r>
        <w:t xml:space="preserve">Jeden z analytiků zabývající se odvětvím spotřebního zboží v Severní Americe říká: </w:t>
      </w:r>
      <w:r w:rsidRPr="00D454D4">
        <w:rPr>
          <w:i/>
          <w:iCs/>
        </w:rPr>
        <w:t xml:space="preserve">“Mnoho společností přijalo nové závazky, včetně cíle uhlíkové neutrality, a několik z nich přidalo metriky ESG mezi kritéria odměňování vedoucích pracovníků”. </w:t>
      </w:r>
    </w:p>
    <w:p w14:paraId="536428B0" w14:textId="59DA0CB5" w:rsidR="00D454D4" w:rsidRDefault="00D454D4" w:rsidP="00D454D4">
      <w:r w:rsidRPr="00D454D4">
        <w:t xml:space="preserve">Jeden z analytiků finančního sektoru mezitím uvedl, že </w:t>
      </w:r>
      <w:r w:rsidRPr="00D454D4">
        <w:rPr>
          <w:i/>
          <w:iCs/>
        </w:rPr>
        <w:t>„</w:t>
      </w:r>
      <w:r w:rsidRPr="00D454D4">
        <w:rPr>
          <w:i/>
          <w:iCs/>
        </w:rPr>
        <w:t xml:space="preserve">stále vice bankovních domů vydává reporty </w:t>
      </w:r>
      <w:proofErr w:type="spellStart"/>
      <w:r w:rsidRPr="00D454D4">
        <w:rPr>
          <w:i/>
          <w:iCs/>
        </w:rPr>
        <w:t>Task</w:t>
      </w:r>
      <w:proofErr w:type="spellEnd"/>
      <w:r w:rsidRPr="00D454D4">
        <w:rPr>
          <w:i/>
          <w:iCs/>
        </w:rPr>
        <w:t xml:space="preserve"> </w:t>
      </w:r>
      <w:proofErr w:type="spellStart"/>
      <w:r w:rsidRPr="00D454D4">
        <w:rPr>
          <w:i/>
          <w:iCs/>
        </w:rPr>
        <w:t>Force</w:t>
      </w:r>
      <w:proofErr w:type="spellEnd"/>
      <w:r w:rsidRPr="00D454D4">
        <w:rPr>
          <w:i/>
          <w:iCs/>
        </w:rPr>
        <w:t xml:space="preserve"> on </w:t>
      </w:r>
      <w:proofErr w:type="spellStart"/>
      <w:r w:rsidRPr="00D454D4">
        <w:rPr>
          <w:i/>
          <w:iCs/>
        </w:rPr>
        <w:t>Climate-related</w:t>
      </w:r>
      <w:proofErr w:type="spellEnd"/>
      <w:r w:rsidRPr="00D454D4">
        <w:rPr>
          <w:i/>
          <w:iCs/>
        </w:rPr>
        <w:t xml:space="preserve"> </w:t>
      </w:r>
      <w:proofErr w:type="spellStart"/>
      <w:r w:rsidRPr="00D454D4">
        <w:rPr>
          <w:i/>
          <w:iCs/>
        </w:rPr>
        <w:t>Financial</w:t>
      </w:r>
      <w:proofErr w:type="spellEnd"/>
      <w:r w:rsidRPr="00D454D4">
        <w:rPr>
          <w:i/>
          <w:iCs/>
        </w:rPr>
        <w:t xml:space="preserve"> </w:t>
      </w:r>
      <w:proofErr w:type="spellStart"/>
      <w:r w:rsidRPr="00D454D4">
        <w:rPr>
          <w:i/>
          <w:iCs/>
        </w:rPr>
        <w:t>Disclosures</w:t>
      </w:r>
      <w:proofErr w:type="spellEnd"/>
      <w:r w:rsidRPr="00D454D4">
        <w:rPr>
          <w:i/>
          <w:iCs/>
        </w:rPr>
        <w:t xml:space="preserve"> (TCFD)”</w:t>
      </w:r>
      <w:r w:rsidRPr="00D454D4">
        <w:t>, které investorům a dalším zainteresovaným osobám pomáhají lépe porozumět, jak je společnost vystavena klimatickým rizikům i příležitostem.</w:t>
      </w:r>
    </w:p>
    <w:p w14:paraId="638EAFCD" w14:textId="77777777" w:rsidR="00D454D4" w:rsidRPr="00D454D4" w:rsidRDefault="00D454D4" w:rsidP="00D454D4">
      <w:r w:rsidRPr="00D454D4">
        <w:t xml:space="preserve">Postupem času by se mělo k uhlíkové neutralitě přiblížit mnohem vice společností, i když většina z nich se k cíli dostane až po roce 2030. Naši analytici očekávají, že do roku 2040 bude celosvětově uhlíkově neutrálních 42 % společností a do roku 2050 bude tento podíl činit 68 %. Přitom se berou v úvahu všechny emise spojené s činností společnosti, tedy nejen ty, které společnost sama </w:t>
      </w:r>
      <w:proofErr w:type="spellStart"/>
      <w:r w:rsidRPr="00D454D4">
        <w:t>vytvaří</w:t>
      </w:r>
      <w:proofErr w:type="spellEnd"/>
      <w:r w:rsidRPr="00D454D4">
        <w:t xml:space="preserve">, ale i ty, které vznikají v rámci jejího hodnotového řetězce. Když vezmeme rovněž v úvahu, že některé ze společností, u nichž se nepředpokládá, že budou za 17 nebo 27 let uhlíkově neutrální, již nemusí existovat, sledujeme výrazný posun. </w:t>
      </w:r>
    </w:p>
    <w:p w14:paraId="59A6807E" w14:textId="77777777" w:rsidR="00D454D4" w:rsidRPr="00D454D4" w:rsidRDefault="00D454D4" w:rsidP="00D454D4">
      <w:r w:rsidRPr="00D454D4">
        <w:t xml:space="preserve">Zřejmě není žádným překvapením, že právě v odvětvích s hůře odstranitelnými emisemi, jako je odvětví základních materiálů a energetika, analytici očekávají pozvolnější pokrok. </w:t>
      </w:r>
    </w:p>
    <w:p w14:paraId="7A9B28A5" w14:textId="1EB8B688" w:rsidR="00A745E5" w:rsidRPr="00A745E5" w:rsidRDefault="00A745E5" w:rsidP="00A745E5">
      <w:pPr>
        <w:pStyle w:val="F2-zkladn"/>
      </w:pPr>
    </w:p>
    <w:p w14:paraId="48EE05A0" w14:textId="16D20DCC" w:rsidR="00A745E5" w:rsidRPr="00A745E5" w:rsidRDefault="00A745E5" w:rsidP="00A745E5">
      <w:pPr>
        <w:pStyle w:val="F2-zkladn"/>
      </w:pPr>
    </w:p>
    <w:p w14:paraId="65EF7B88" w14:textId="3DD66FA1" w:rsidR="005A77E1" w:rsidRDefault="00D454D4" w:rsidP="005A77E1">
      <w:pPr>
        <w:pStyle w:val="F2-zkladn"/>
        <w:rPr>
          <w:rFonts w:cstheme="minorHAnsi"/>
          <w:b/>
          <w:bCs/>
        </w:rPr>
      </w:pPr>
      <w:r>
        <w:rPr>
          <w:noProof/>
        </w:rPr>
        <w:lastRenderedPageBreak/>
        <w:drawing>
          <wp:anchor distT="0" distB="0" distL="114300" distR="114300" simplePos="0" relativeHeight="251660288" behindDoc="0" locked="0" layoutInCell="1" allowOverlap="1" wp14:anchorId="50C0EE8A" wp14:editId="6685448F">
            <wp:simplePos x="0" y="0"/>
            <wp:positionH relativeFrom="margin">
              <wp:align>left</wp:align>
            </wp:positionH>
            <wp:positionV relativeFrom="paragraph">
              <wp:posOffset>342900</wp:posOffset>
            </wp:positionV>
            <wp:extent cx="4933950" cy="3352800"/>
            <wp:effectExtent l="0" t="0" r="0" b="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933950" cy="3352800"/>
                    </a:xfrm>
                    <a:prstGeom prst="rect">
                      <a:avLst/>
                    </a:prstGeom>
                  </pic:spPr>
                </pic:pic>
              </a:graphicData>
            </a:graphic>
          </wp:anchor>
        </w:drawing>
      </w:r>
      <w:r>
        <w:rPr>
          <w:rFonts w:cstheme="minorHAnsi"/>
          <w:b/>
          <w:bCs/>
        </w:rPr>
        <w:t>Graf 4: Zajíci a želvy v závodě o dosažení uhlíkové neutrality</w:t>
      </w:r>
    </w:p>
    <w:p w14:paraId="258CB685" w14:textId="5293DBC9" w:rsidR="00D454D4" w:rsidRPr="00D454D4" w:rsidRDefault="00D454D4" w:rsidP="00D454D4">
      <w:pPr>
        <w:rPr>
          <w:i/>
          <w:iCs/>
          <w:sz w:val="16"/>
          <w:szCs w:val="16"/>
        </w:rPr>
      </w:pPr>
      <w:r w:rsidRPr="00D454D4">
        <w:rPr>
          <w:i/>
          <w:iCs/>
          <w:sz w:val="16"/>
          <w:szCs w:val="16"/>
        </w:rPr>
        <w:t xml:space="preserve">Otázka: </w:t>
      </w:r>
      <w:r>
        <w:rPr>
          <w:i/>
          <w:iCs/>
          <w:sz w:val="16"/>
          <w:szCs w:val="16"/>
        </w:rPr>
        <w:t>„</w:t>
      </w:r>
      <w:r w:rsidRPr="00D454D4">
        <w:rPr>
          <w:i/>
          <w:iCs/>
          <w:sz w:val="16"/>
          <w:szCs w:val="16"/>
        </w:rPr>
        <w:t xml:space="preserve">Jaké procento vámi pokrývaných společností bude podle vašeho odhadu uhlíkově neutrální (emise v rozsahu 1,2, a 3) do roku: 2030, 2040 a 2050?” </w:t>
      </w:r>
    </w:p>
    <w:p w14:paraId="65450883" w14:textId="77777777" w:rsidR="00BA70E9" w:rsidRDefault="00BA70E9" w:rsidP="00BA70E9">
      <w:r w:rsidRPr="00BA70E9">
        <w:rPr>
          <w:rFonts w:cstheme="minorHAnsi"/>
        </w:rPr>
        <w:t>Navzdory těmto výzvám (nebo právě proto) naši analytici úspěšně spolupracují s managementy společností</w:t>
      </w:r>
      <w:r>
        <w:t xml:space="preserve">. </w:t>
      </w:r>
    </w:p>
    <w:p w14:paraId="5DFC2C00" w14:textId="5351245E" w:rsidR="00BA70E9" w:rsidRDefault="00BA70E9" w:rsidP="00BA70E9">
      <w:r w:rsidRPr="00BA70E9">
        <w:rPr>
          <w:i/>
          <w:iCs/>
        </w:rPr>
        <w:t>„</w:t>
      </w:r>
      <w:r w:rsidRPr="00BA70E9">
        <w:rPr>
          <w:i/>
          <w:iCs/>
        </w:rPr>
        <w:t>Společnosti z ropného a plynárenského průmyslu chápou, že zásady ESG jsou nezbytným požadavkem pro veřejně obchodované společnosti a téměř všechny mají plány na dosažení uhlíkové neutrality v rozsahu 1 a 2 do roku 2050”</w:t>
      </w:r>
      <w:r>
        <w:t xml:space="preserve">, říká energetický analytik z asijsko-pacifické oblasti s odkazem na přímé produkované emise společností (rozsah 1) a nepřímé emise z nakoupené elektřiny, kterou společnosti používají při své činnosti (rozsah 2). </w:t>
      </w:r>
    </w:p>
    <w:p w14:paraId="2131F8EC" w14:textId="062B508C" w:rsidR="00BA70E9" w:rsidRDefault="00BA70E9" w:rsidP="00BA70E9">
      <w:r>
        <w:t xml:space="preserve">Stejný analytik ovšem poznamenává, že </w:t>
      </w:r>
      <w:r w:rsidRPr="00BA70E9">
        <w:rPr>
          <w:i/>
          <w:iCs/>
        </w:rPr>
        <w:t>„</w:t>
      </w:r>
      <w:r w:rsidRPr="00BA70E9">
        <w:rPr>
          <w:i/>
          <w:iCs/>
        </w:rPr>
        <w:t xml:space="preserve">nakládání s emisemi v rozsahu 3 se velmi </w:t>
      </w:r>
      <w:proofErr w:type="gramStart"/>
      <w:r w:rsidRPr="00BA70E9">
        <w:rPr>
          <w:i/>
          <w:iCs/>
        </w:rPr>
        <w:t>liší</w:t>
      </w:r>
      <w:proofErr w:type="gramEnd"/>
      <w:r w:rsidRPr="00BA70E9">
        <w:rPr>
          <w:i/>
          <w:iCs/>
        </w:rPr>
        <w:t>”</w:t>
      </w:r>
      <w:r>
        <w:t xml:space="preserve">. Jinými slovy, některé společnosti se </w:t>
      </w:r>
      <w:proofErr w:type="gramStart"/>
      <w:r>
        <w:t>lépe</w:t>
      </w:r>
      <w:proofErr w:type="gramEnd"/>
      <w:r>
        <w:t xml:space="preserve"> než jiné snaží řešit emise způsobené těmi, kdo používají jejich produkty, což je v případě fosilních paliv oblast, kde dochází k většině emisí. </w:t>
      </w:r>
    </w:p>
    <w:p w14:paraId="4D14CFBE" w14:textId="7CFEE83C" w:rsidR="00BA70E9" w:rsidRDefault="00BA70E9" w:rsidP="00BA70E9">
      <w:pPr>
        <w:pStyle w:val="F2-zkladn"/>
        <w:rPr>
          <w:rFonts w:cstheme="minorHAnsi"/>
          <w:b/>
          <w:bCs/>
        </w:rPr>
      </w:pPr>
      <w:r>
        <w:rPr>
          <w:rFonts w:cstheme="minorHAnsi"/>
          <w:b/>
          <w:bCs/>
        </w:rPr>
        <w:t>Volání přírody</w:t>
      </w:r>
    </w:p>
    <w:p w14:paraId="229D6629" w14:textId="35A591D9" w:rsidR="00BA70E9" w:rsidRDefault="00BA70E9" w:rsidP="00BA70E9">
      <w:r w:rsidRPr="00BA70E9">
        <w:t xml:space="preserve">Navzdory pokračujícímu pokroku na cestě k uhlíkové neutralitě se zdá, že jedné oblasti je věnována příliš malá pozornost. </w:t>
      </w:r>
      <w:r>
        <w:t xml:space="preserve">Snižovaní emisí je jen jednou stránkou rovnice změny klimatu. Na druhé straně je naléhavá potřeba zvrátit úbytek přírody a chránit lesy a další přírodní zdroje zachytávající skleníkové plyny. Pouze 8 % analytiků očekává, že společnosti v příštích 12 měsících </w:t>
      </w:r>
      <w:proofErr w:type="gramStart"/>
      <w:r>
        <w:t>sníží</w:t>
      </w:r>
      <w:proofErr w:type="gramEnd"/>
      <w:r>
        <w:t xml:space="preserve"> svůj negativní dopad na suchozemskou biodiverzitu. V případě oceánské </w:t>
      </w:r>
      <w:proofErr w:type="gramStart"/>
      <w:r>
        <w:t>biodiversity</w:t>
      </w:r>
      <w:proofErr w:type="gramEnd"/>
      <w:r>
        <w:t xml:space="preserve"> je to 6 %. </w:t>
      </w:r>
    </w:p>
    <w:p w14:paraId="2BD91364" w14:textId="41C9A9D6" w:rsidR="00BA70E9" w:rsidRDefault="00BA70E9" w:rsidP="00BA70E9">
      <w:pPr>
        <w:pStyle w:val="F2-zkladn"/>
      </w:pPr>
    </w:p>
    <w:p w14:paraId="70854DA8" w14:textId="77777777" w:rsidR="00BA70E9" w:rsidRPr="00BA70E9" w:rsidRDefault="00BA70E9" w:rsidP="00BA70E9">
      <w:pPr>
        <w:pStyle w:val="F2-zkladn"/>
      </w:pPr>
    </w:p>
    <w:p w14:paraId="4985AE97" w14:textId="01B88D28" w:rsidR="00BA70E9" w:rsidRDefault="00BA70E9" w:rsidP="00BA70E9">
      <w:pPr>
        <w:pStyle w:val="F2-zkladn"/>
        <w:rPr>
          <w:rFonts w:cstheme="minorHAnsi"/>
          <w:b/>
          <w:bCs/>
        </w:rPr>
      </w:pPr>
      <w:r>
        <w:rPr>
          <w:rFonts w:cstheme="minorHAnsi"/>
          <w:b/>
          <w:bCs/>
        </w:rPr>
        <w:lastRenderedPageBreak/>
        <w:t>Graf 5: Biologická rozmanitost byla doposud v pozadí</w:t>
      </w:r>
    </w:p>
    <w:p w14:paraId="0F7A561F" w14:textId="1EA821BA" w:rsidR="00A745E5" w:rsidRPr="005A77E1" w:rsidRDefault="00BA70E9" w:rsidP="005A77E1">
      <w:pPr>
        <w:pStyle w:val="F2-zkladn"/>
      </w:pPr>
      <w:r w:rsidRPr="000E4F7D">
        <w:rPr>
          <w:noProof/>
          <w:color w:val="000000"/>
        </w:rPr>
        <w:drawing>
          <wp:anchor distT="0" distB="0" distL="114300" distR="114300" simplePos="0" relativeHeight="251661312" behindDoc="0" locked="0" layoutInCell="1" allowOverlap="1" wp14:anchorId="420C11BB" wp14:editId="4E171D9E">
            <wp:simplePos x="0" y="0"/>
            <wp:positionH relativeFrom="margin">
              <wp:align>left</wp:align>
            </wp:positionH>
            <wp:positionV relativeFrom="paragraph">
              <wp:posOffset>160020</wp:posOffset>
            </wp:positionV>
            <wp:extent cx="4680000" cy="3600000"/>
            <wp:effectExtent l="0" t="0" r="0" b="0"/>
            <wp:wrapSquare wrapText="bothSides"/>
            <wp:docPr id="15" name="Chart 15">
              <a:extLst xmlns:a="http://schemas.openxmlformats.org/drawingml/2006/main">
                <a:ext uri="{FF2B5EF4-FFF2-40B4-BE49-F238E27FC236}">
                  <a16:creationId xmlns:a16="http://schemas.microsoft.com/office/drawing/2014/main" id="{379467CE-1B08-4373-9E2C-40DAA4FBBA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24FA4842" w14:textId="77777777" w:rsidR="00BA70E9" w:rsidRDefault="00BA70E9" w:rsidP="00725052">
      <w:pPr>
        <w:spacing w:line="240" w:lineRule="auto"/>
        <w:rPr>
          <w:b/>
        </w:rPr>
      </w:pPr>
    </w:p>
    <w:p w14:paraId="591EE07F" w14:textId="77777777" w:rsidR="00BA70E9" w:rsidRDefault="00BA70E9" w:rsidP="00725052">
      <w:pPr>
        <w:spacing w:line="240" w:lineRule="auto"/>
        <w:rPr>
          <w:b/>
        </w:rPr>
      </w:pPr>
    </w:p>
    <w:p w14:paraId="150D2E08" w14:textId="77777777" w:rsidR="00BA70E9" w:rsidRDefault="00BA70E9" w:rsidP="00725052">
      <w:pPr>
        <w:spacing w:line="240" w:lineRule="auto"/>
        <w:rPr>
          <w:b/>
        </w:rPr>
      </w:pPr>
    </w:p>
    <w:p w14:paraId="140E281A" w14:textId="77777777" w:rsidR="00BA70E9" w:rsidRDefault="00BA70E9" w:rsidP="00725052">
      <w:pPr>
        <w:spacing w:line="240" w:lineRule="auto"/>
        <w:rPr>
          <w:b/>
        </w:rPr>
      </w:pPr>
    </w:p>
    <w:p w14:paraId="7566619F" w14:textId="77777777" w:rsidR="00BA70E9" w:rsidRDefault="00BA70E9" w:rsidP="00725052">
      <w:pPr>
        <w:spacing w:line="240" w:lineRule="auto"/>
        <w:rPr>
          <w:b/>
        </w:rPr>
      </w:pPr>
    </w:p>
    <w:p w14:paraId="10AA2811" w14:textId="77777777" w:rsidR="00BA70E9" w:rsidRDefault="00BA70E9" w:rsidP="00725052">
      <w:pPr>
        <w:spacing w:line="240" w:lineRule="auto"/>
        <w:rPr>
          <w:b/>
        </w:rPr>
      </w:pPr>
    </w:p>
    <w:p w14:paraId="42028E21" w14:textId="77777777" w:rsidR="00BA70E9" w:rsidRDefault="00BA70E9" w:rsidP="00725052">
      <w:pPr>
        <w:spacing w:line="240" w:lineRule="auto"/>
        <w:rPr>
          <w:b/>
        </w:rPr>
      </w:pPr>
    </w:p>
    <w:p w14:paraId="3FC4BADB" w14:textId="77777777" w:rsidR="00BA70E9" w:rsidRDefault="00BA70E9" w:rsidP="00725052">
      <w:pPr>
        <w:spacing w:line="240" w:lineRule="auto"/>
        <w:rPr>
          <w:b/>
        </w:rPr>
      </w:pPr>
    </w:p>
    <w:p w14:paraId="58F9AB69" w14:textId="77777777" w:rsidR="00BA70E9" w:rsidRDefault="00BA70E9" w:rsidP="00725052">
      <w:pPr>
        <w:spacing w:line="240" w:lineRule="auto"/>
        <w:rPr>
          <w:b/>
        </w:rPr>
      </w:pPr>
    </w:p>
    <w:p w14:paraId="7B8DC473" w14:textId="77777777" w:rsidR="00BA70E9" w:rsidRDefault="00BA70E9" w:rsidP="00725052">
      <w:pPr>
        <w:spacing w:line="240" w:lineRule="auto"/>
        <w:rPr>
          <w:b/>
        </w:rPr>
      </w:pPr>
    </w:p>
    <w:p w14:paraId="5AE43711" w14:textId="77777777" w:rsidR="00BA70E9" w:rsidRDefault="00BA70E9" w:rsidP="00725052">
      <w:pPr>
        <w:spacing w:line="240" w:lineRule="auto"/>
        <w:rPr>
          <w:b/>
        </w:rPr>
      </w:pPr>
    </w:p>
    <w:p w14:paraId="1C6B3E6E" w14:textId="77777777" w:rsidR="00BA70E9" w:rsidRDefault="00BA70E9" w:rsidP="00725052">
      <w:pPr>
        <w:spacing w:line="240" w:lineRule="auto"/>
        <w:rPr>
          <w:b/>
        </w:rPr>
      </w:pPr>
    </w:p>
    <w:p w14:paraId="6D4D3426" w14:textId="327BE494" w:rsidR="00BA70E9" w:rsidRPr="00BA70E9" w:rsidRDefault="00BA70E9" w:rsidP="00BA70E9">
      <w:pPr>
        <w:rPr>
          <w:i/>
          <w:iCs/>
          <w:sz w:val="16"/>
          <w:szCs w:val="16"/>
        </w:rPr>
      </w:pPr>
      <w:r w:rsidRPr="00BA70E9">
        <w:rPr>
          <w:i/>
          <w:iCs/>
          <w:sz w:val="16"/>
          <w:szCs w:val="16"/>
        </w:rPr>
        <w:t xml:space="preserve">Otázka: </w:t>
      </w:r>
      <w:r>
        <w:rPr>
          <w:i/>
          <w:iCs/>
          <w:sz w:val="16"/>
          <w:szCs w:val="16"/>
        </w:rPr>
        <w:t>„</w:t>
      </w:r>
      <w:r w:rsidRPr="00BA70E9">
        <w:rPr>
          <w:i/>
          <w:iCs/>
          <w:sz w:val="16"/>
          <w:szCs w:val="16"/>
        </w:rPr>
        <w:t xml:space="preserve">Do jaké </w:t>
      </w:r>
      <w:proofErr w:type="spellStart"/>
      <w:r w:rsidRPr="00BA70E9">
        <w:rPr>
          <w:i/>
          <w:iCs/>
          <w:sz w:val="16"/>
          <w:szCs w:val="16"/>
        </w:rPr>
        <w:t>miry</w:t>
      </w:r>
      <w:proofErr w:type="spellEnd"/>
      <w:r w:rsidRPr="00BA70E9">
        <w:rPr>
          <w:i/>
          <w:iCs/>
          <w:sz w:val="16"/>
          <w:szCs w:val="16"/>
        </w:rPr>
        <w:t xml:space="preserve"> očekáváte, že vámi pokrývané společnosti v příštích 12 měsících </w:t>
      </w:r>
      <w:proofErr w:type="gramStart"/>
      <w:r w:rsidRPr="00BA70E9">
        <w:rPr>
          <w:i/>
          <w:iCs/>
          <w:sz w:val="16"/>
          <w:szCs w:val="16"/>
        </w:rPr>
        <w:t>sníží</w:t>
      </w:r>
      <w:proofErr w:type="gramEnd"/>
      <w:r w:rsidRPr="00BA70E9">
        <w:rPr>
          <w:i/>
          <w:iCs/>
          <w:sz w:val="16"/>
          <w:szCs w:val="16"/>
        </w:rPr>
        <w:t xml:space="preserve"> svůj negativní dopad na následující oblasti?” Graf ukazuje podíl odpovědí rozsahu 5-7, kde 1 znamená, že </w:t>
      </w:r>
      <w:proofErr w:type="gramStart"/>
      <w:r w:rsidRPr="00BA70E9">
        <w:rPr>
          <w:i/>
          <w:iCs/>
          <w:sz w:val="16"/>
          <w:szCs w:val="16"/>
        </w:rPr>
        <w:t>nesníží</w:t>
      </w:r>
      <w:proofErr w:type="gramEnd"/>
      <w:r w:rsidRPr="00BA70E9">
        <w:rPr>
          <w:i/>
          <w:iCs/>
          <w:sz w:val="16"/>
          <w:szCs w:val="16"/>
        </w:rPr>
        <w:t xml:space="preserve"> svůj dopad, a 7 znamená, že výrazně sníží svůj dopad. </w:t>
      </w:r>
    </w:p>
    <w:p w14:paraId="5FFA810F" w14:textId="6384E7C1" w:rsidR="00BA70E9" w:rsidRPr="00BA70E9" w:rsidRDefault="00BA70E9" w:rsidP="00BA70E9">
      <w:r w:rsidRPr="00BA70E9">
        <w:rPr>
          <w:i/>
          <w:iCs/>
        </w:rPr>
        <w:t xml:space="preserve">“Iniciativy týkající se biologické rozmanitosti jsou u většiny společností stále v počátečních fázích,” </w:t>
      </w:r>
      <w:r w:rsidRPr="00BA70E9">
        <w:t>říká jeden z analytiků.</w:t>
      </w:r>
      <w:r>
        <w:rPr>
          <w:i/>
          <w:iCs/>
        </w:rPr>
        <w:t xml:space="preserve"> </w:t>
      </w:r>
      <w:r w:rsidRPr="00BA70E9">
        <w:rPr>
          <w:i/>
          <w:iCs/>
        </w:rPr>
        <w:t>“</w:t>
      </w:r>
      <w:r w:rsidRPr="00BA70E9">
        <w:rPr>
          <w:i/>
          <w:iCs/>
        </w:rPr>
        <w:t>Hospodaření s vodou a odpady má pro podniky větší přímý přínos z hlediska úspory nákladů a společnosti mají tendenci být vice motivovány k řešení těchto oblastí.”</w:t>
      </w:r>
    </w:p>
    <w:p w14:paraId="06F1E88E" w14:textId="77777777" w:rsidR="00BA70E9" w:rsidRPr="00BA70E9" w:rsidRDefault="00BA70E9" w:rsidP="00BA70E9">
      <w:r w:rsidRPr="00BA70E9">
        <w:t>Upozorňujeme manažery společností, s nimiž se setkáváme, aby si uvědomili, že řešení rizik souvisejících s přírodou, ať už se jedná o fyzická rizika, kterými jsou vystaveny jejich dodavatelské řetězce, nebo o právní rizika a reputační rizika vyplývající z nových předpisů a měnících se očekávání zákazníků, investorů a širší veřejnosti, je pro jejich podnikání podnětné.</w:t>
      </w:r>
    </w:p>
    <w:p w14:paraId="72FFD01F" w14:textId="77777777" w:rsidR="00BA70E9" w:rsidRPr="00BA70E9" w:rsidRDefault="00BA70E9" w:rsidP="00BA70E9">
      <w:r w:rsidRPr="00BA70E9">
        <w:t xml:space="preserve">Navíc je zachování a obnova přírodního kapitálu nezbytnou podmínkou pro řešení změny klimatu. </w:t>
      </w:r>
    </w:p>
    <w:p w14:paraId="6A87175A" w14:textId="77777777" w:rsidR="00BA70E9" w:rsidRPr="00BA70E9" w:rsidRDefault="00BA70E9" w:rsidP="00BA70E9">
      <w:r w:rsidRPr="00BA70E9">
        <w:t xml:space="preserve">Konference OSN o biologické rozmanitosti, která se konala v prosinci 2022 v Montrealu a byla označována jako COP15, zviditelnila biologickou rozmanitost a její význam pro dosažení uhlíkové neutrality a dodala nový impuls k našim rozhovorům se společnostmi na toto téma. </w:t>
      </w:r>
    </w:p>
    <w:p w14:paraId="7F9998F6" w14:textId="7D813DF3" w:rsidR="00BA70E9" w:rsidRPr="00BA70E9" w:rsidRDefault="00BA70E9" w:rsidP="00BA70E9">
      <w:r w:rsidRPr="00BA70E9">
        <w:t xml:space="preserve">Jak ukazuje náš průzkum, společnosti neztratily chuť do boje a během náročných 12 měsíců si zachovaly důraz na zásady ESG. V roce 2023 budeme manažery nadále vybízet, aby tuto energii více využívali k řešení problémů souvisejících s přírodou, jako je odlesňování. Je před námi ještě hodně práce, ale firmy naslouchají </w:t>
      </w:r>
      <w:r w:rsidR="0006232D" w:rsidRPr="005C1908">
        <w:t>–</w:t>
      </w:r>
      <w:r w:rsidR="0006232D">
        <w:t xml:space="preserve"> </w:t>
      </w:r>
      <w:r w:rsidRPr="00BA70E9">
        <w:t>a jednají.</w:t>
      </w:r>
    </w:p>
    <w:p w14:paraId="09735546" w14:textId="77777777" w:rsidR="00BA70E9" w:rsidRDefault="00BA70E9" w:rsidP="00BA70E9">
      <w:pPr>
        <w:rPr>
          <w:color w:val="000000"/>
        </w:rPr>
      </w:pPr>
    </w:p>
    <w:p w14:paraId="0846CE47" w14:textId="77777777" w:rsidR="00BA70E9" w:rsidRDefault="00BA70E9" w:rsidP="00725052">
      <w:pPr>
        <w:spacing w:line="240" w:lineRule="auto"/>
        <w:rPr>
          <w:b/>
        </w:rPr>
      </w:pPr>
    </w:p>
    <w:p w14:paraId="2F864698" w14:textId="5946B2D0" w:rsidR="00725052" w:rsidRPr="00BC4EF0" w:rsidRDefault="00725052" w:rsidP="00725052">
      <w:pPr>
        <w:spacing w:line="240" w:lineRule="auto"/>
      </w:pPr>
      <w:r w:rsidRPr="00455A3C">
        <w:rPr>
          <w:b/>
        </w:rPr>
        <w:t>Pro více informací kontaktujte:</w:t>
      </w:r>
    </w:p>
    <w:p w14:paraId="4D4F0F5B" w14:textId="032E6267" w:rsidR="00725052" w:rsidRPr="00455A3C" w:rsidRDefault="00725052" w:rsidP="00725052">
      <w:pPr>
        <w:spacing w:before="0" w:line="360" w:lineRule="auto"/>
        <w:rPr>
          <w:b/>
        </w:rPr>
      </w:pPr>
    </w:p>
    <w:p w14:paraId="6D0D039A" w14:textId="00DF0A78" w:rsidR="00725052" w:rsidRDefault="00725052" w:rsidP="00725052">
      <w:pPr>
        <w:spacing w:before="0" w:line="240" w:lineRule="atLeast"/>
        <w:rPr>
          <w:b/>
        </w:rPr>
      </w:pPr>
      <w:r>
        <w:rPr>
          <w:b/>
        </w:rPr>
        <w:t>Eliška Krohová</w:t>
      </w:r>
    </w:p>
    <w:p w14:paraId="27501A37" w14:textId="77777777" w:rsidR="00725052" w:rsidRPr="00455A3C" w:rsidRDefault="00725052" w:rsidP="00725052">
      <w:pPr>
        <w:spacing w:before="0" w:line="240" w:lineRule="atLeast"/>
        <w:rPr>
          <w:b/>
          <w:bCs/>
        </w:rPr>
      </w:pPr>
      <w:r w:rsidRPr="00455A3C">
        <w:rPr>
          <w:b/>
          <w:bCs/>
        </w:rPr>
        <w:t>Crest Communications, a.s.</w:t>
      </w:r>
    </w:p>
    <w:p w14:paraId="470A7FC7" w14:textId="77777777" w:rsidR="00725052" w:rsidRPr="00455A3C" w:rsidRDefault="00725052" w:rsidP="00725052">
      <w:pPr>
        <w:spacing w:before="0" w:line="240" w:lineRule="atLeast"/>
      </w:pPr>
    </w:p>
    <w:p w14:paraId="78D4E04A" w14:textId="77777777" w:rsidR="00725052" w:rsidRPr="00455A3C" w:rsidRDefault="00725052" w:rsidP="00725052">
      <w:pPr>
        <w:spacing w:before="0" w:line="240" w:lineRule="atLeast"/>
      </w:pPr>
      <w:r w:rsidRPr="00455A3C">
        <w:t>Ostrovní 126/30</w:t>
      </w:r>
    </w:p>
    <w:p w14:paraId="19AD5F69" w14:textId="77777777" w:rsidR="00725052" w:rsidRPr="00455A3C" w:rsidRDefault="00725052" w:rsidP="00725052">
      <w:pPr>
        <w:spacing w:before="0" w:line="240" w:lineRule="atLeast"/>
      </w:pPr>
      <w:r w:rsidRPr="00455A3C">
        <w:t>110 00 Praha 1</w:t>
      </w:r>
    </w:p>
    <w:p w14:paraId="2B32019C" w14:textId="77777777" w:rsidR="00725052" w:rsidRPr="00455A3C" w:rsidRDefault="00725052" w:rsidP="00725052">
      <w:pPr>
        <w:spacing w:before="0" w:line="240" w:lineRule="atLeast"/>
      </w:pPr>
      <w:r>
        <w:t>gsm: + 420 720 406 659</w:t>
      </w:r>
    </w:p>
    <w:p w14:paraId="38747592" w14:textId="77777777" w:rsidR="000E2910" w:rsidRDefault="00725052" w:rsidP="005A5AB1">
      <w:pPr>
        <w:spacing w:before="0" w:line="240" w:lineRule="atLeast"/>
        <w:rPr>
          <w:rStyle w:val="Hypertextovodkaz"/>
        </w:rPr>
      </w:pPr>
      <w:r w:rsidRPr="00455A3C">
        <w:rPr>
          <w:color w:val="000000"/>
        </w:rPr>
        <w:t xml:space="preserve">e-mail: </w:t>
      </w:r>
      <w:hyperlink r:id="rId14" w:history="1">
        <w:r w:rsidRPr="00E23FD4">
          <w:rPr>
            <w:rStyle w:val="Hypertextovodkaz"/>
          </w:rPr>
          <w:t>eliska.krohova@crestcom.cz</w:t>
        </w:r>
      </w:hyperlink>
    </w:p>
    <w:p w14:paraId="66CF28D8" w14:textId="77777777" w:rsidR="005A5AB1" w:rsidRPr="005A5AB1" w:rsidRDefault="005A5AB1" w:rsidP="005A5AB1">
      <w:pPr>
        <w:pStyle w:val="F2-zkladn"/>
      </w:pPr>
    </w:p>
    <w:p w14:paraId="345ED943" w14:textId="77777777" w:rsidR="00D404D5" w:rsidRPr="00D404D5" w:rsidRDefault="00D404D5" w:rsidP="00D404D5">
      <w:pPr>
        <w:shd w:val="clear" w:color="auto" w:fill="FFFFFF"/>
        <w:spacing w:before="0" w:line="360" w:lineRule="atLeast"/>
        <w:rPr>
          <w:b/>
          <w:bCs/>
        </w:rPr>
      </w:pPr>
      <w:r w:rsidRPr="00D404D5">
        <w:rPr>
          <w:b/>
          <w:bCs/>
        </w:rPr>
        <w:t>Informace pro editory:</w:t>
      </w:r>
    </w:p>
    <w:p w14:paraId="35C19D4E" w14:textId="71FC5EAF" w:rsidR="009475A6" w:rsidRDefault="00D404D5" w:rsidP="00770E04">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(assets under administration)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79C95775" w14:textId="77777777" w:rsidR="005A77E1" w:rsidRPr="005A77E1" w:rsidRDefault="005A77E1" w:rsidP="005A77E1">
      <w:pPr>
        <w:pStyle w:val="F2-zkladn"/>
        <w:rPr>
          <w:lang w:eastAsia="en-US"/>
        </w:rPr>
      </w:pPr>
    </w:p>
    <w:p w14:paraId="5FBC9B7E" w14:textId="77777777" w:rsidR="00424771" w:rsidRPr="00424771" w:rsidRDefault="00424771" w:rsidP="00424771">
      <w:pPr>
        <w:pStyle w:val="F2-zkladn"/>
        <w:rPr>
          <w:b/>
          <w:bCs/>
        </w:rPr>
      </w:pPr>
      <w:r w:rsidRPr="00424771">
        <w:rPr>
          <w:b/>
          <w:bCs/>
        </w:rPr>
        <w:t>Důležité upozornění</w:t>
      </w:r>
    </w:p>
    <w:p w14:paraId="61A608AA" w14:textId="77777777" w:rsidR="00424771" w:rsidRDefault="00424771" w:rsidP="00424771">
      <w:pPr>
        <w:pStyle w:val="F2-zkladn"/>
      </w:pPr>
      <w:r>
        <w:t>Toto je propagační materiál. Tento dokument nesmí být bez předchozího souhlasu rozmnožován nebo rozšiřován.</w:t>
      </w:r>
    </w:p>
    <w:p w14:paraId="39A73E12" w14:textId="77777777" w:rsidR="00424771" w:rsidRDefault="00424771" w:rsidP="00424771">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600509FC" w14:textId="77777777" w:rsidR="00424771" w:rsidRDefault="00424771" w:rsidP="00424771">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3C5CF365" w14:textId="77777777" w:rsidR="00424771" w:rsidRDefault="00424771" w:rsidP="00424771">
      <w:pPr>
        <w:pStyle w:val="F2-zkladn"/>
      </w:pPr>
      <w:r>
        <w:lastRenderedPageBreak/>
        <w:t>Všechny názory představují stanoviska společnosti Fidelity, není-li uvedeno jinak. Fidelity, Fidelity International a logo Fidelity International a symbol měny F jsou všechno ochrannými známkami společnosti FIL Limited.</w:t>
      </w:r>
    </w:p>
    <w:p w14:paraId="54F24447" w14:textId="77777777" w:rsidR="00424771" w:rsidRDefault="00424771" w:rsidP="00424771">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6D3248C8" w14:textId="77777777" w:rsidR="00424771" w:rsidRDefault="00424771" w:rsidP="00424771">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3D1F1D90" w14:textId="77777777" w:rsidR="00424771" w:rsidRDefault="00424771" w:rsidP="00424771">
      <w:pPr>
        <w:pStyle w:val="F2-zkladn"/>
      </w:pPr>
      <w:r>
        <w:t>Minulá výkonnost není spolehlivým ukazatelem budoucích výsledků.</w:t>
      </w:r>
    </w:p>
    <w:p w14:paraId="6DBDEF5B" w14:textId="77777777" w:rsidR="00424771" w:rsidRDefault="00424771" w:rsidP="00424771">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2A94724B" w14:textId="77777777" w:rsidR="00424771" w:rsidRDefault="00424771" w:rsidP="00424771">
      <w:pPr>
        <w:pStyle w:val="F2-zkladn"/>
      </w:pPr>
      <w:r>
        <w:t>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2a, rue Albert Borschette BP 2174 L-1021 Luxembourg.</w:t>
      </w:r>
    </w:p>
    <w:p w14:paraId="1BF16105" w14:textId="77777777" w:rsidR="00424771" w:rsidRDefault="00424771" w:rsidP="00424771">
      <w:pPr>
        <w:pStyle w:val="F2-zkladn"/>
      </w:pPr>
      <w:r>
        <w:t>Fidelity Funds "FF" je otevřená investiční společnost (SKIPCP) sídlící v Lucembursku, která disponuje akciemi různých tříd. Společnost FIL Investment Management (Luxembourg) S.A. si vyhrazuje právo ukončit nabízení podfondu a jeho podílových jednotek na trhu v souladu s článkem 93 písm. a) směrnice 2009/65/ES a článkem 32 písm. a) směrnice 2011/61/EU. Toto ukončení bude předem oznámeno v Lucembursku.Obchodní známky třetích stran, autorská práva a další práva duševního vlastnictví zůstávají majetkem jejich konkrétních vlastníků.</w:t>
      </w:r>
    </w:p>
    <w:p w14:paraId="1623B205" w14:textId="77777777" w:rsidR="00424771" w:rsidRDefault="00424771" w:rsidP="00424771">
      <w:pPr>
        <w:pStyle w:val="F2-zkladn"/>
      </w:pPr>
      <w:r>
        <w:t>Investoři a potenciální investoři mohou získat informace o svých právech ve spojení se stížnostmi a soudními spory na tomto odkazu: https://www.fidelity.cz (v češtině).</w:t>
      </w:r>
    </w:p>
    <w:p w14:paraId="45D0AE5D" w14:textId="77777777" w:rsidR="0006232D" w:rsidRPr="0006232D" w:rsidRDefault="0006232D" w:rsidP="0006232D">
      <w:r w:rsidRPr="0006232D">
        <w:t>MKAT11190</w:t>
      </w:r>
    </w:p>
    <w:p w14:paraId="7849DA3E" w14:textId="5C2D02C9" w:rsidR="00B42703" w:rsidRPr="00E667B4" w:rsidRDefault="00B42703" w:rsidP="0006232D">
      <w:pPr>
        <w:pStyle w:val="F2-zkladn"/>
      </w:pPr>
    </w:p>
    <w:sectPr w:rsidR="00B42703" w:rsidRPr="00E667B4" w:rsidSect="002F1160">
      <w:headerReference w:type="default" r:id="rId15"/>
      <w:footerReference w:type="default" r:id="rId16"/>
      <w:headerReference w:type="first" r:id="rId17"/>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98B1A" w14:textId="77777777" w:rsidR="00E60B6D" w:rsidRDefault="00E60B6D">
      <w:r>
        <w:separator/>
      </w:r>
    </w:p>
  </w:endnote>
  <w:endnote w:type="continuationSeparator" w:id="0">
    <w:p w14:paraId="02EC20B6" w14:textId="77777777" w:rsidR="00E60B6D" w:rsidRDefault="00E6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8E2D3"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E7F2" w14:textId="77777777" w:rsidR="00E60B6D" w:rsidRDefault="00E60B6D">
      <w:r>
        <w:separator/>
      </w:r>
    </w:p>
  </w:footnote>
  <w:footnote w:type="continuationSeparator" w:id="0">
    <w:p w14:paraId="0A3284C2" w14:textId="77777777" w:rsidR="00E60B6D" w:rsidRDefault="00E60B6D">
      <w:r>
        <w:continuationSeparator/>
      </w:r>
    </w:p>
  </w:footnote>
  <w:footnote w:type="continuationNotice" w:id="1">
    <w:p w14:paraId="73D3CD2A" w14:textId="77777777" w:rsidR="00E60B6D" w:rsidRDefault="00E60B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1664"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A519E" w14:textId="77777777" w:rsidR="001D1343" w:rsidRDefault="0018797C">
    <w:pPr>
      <w:pStyle w:val="Zhlav"/>
    </w:pPr>
    <w:r>
      <w:rPr>
        <w:noProof/>
      </w:rPr>
      <w:drawing>
        <wp:anchor distT="0" distB="0" distL="114300" distR="114300" simplePos="0" relativeHeight="251657728" behindDoc="0" locked="0" layoutInCell="1" allowOverlap="1" wp14:anchorId="5D4A9E74" wp14:editId="12ADB3D1">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267A10DD" w14:textId="77777777" w:rsidR="001D1343" w:rsidRDefault="001D1343">
    <w:pPr>
      <w:pStyle w:val="Zhlav"/>
    </w:pPr>
  </w:p>
  <w:p w14:paraId="33E5A86E"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4"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5"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6"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0"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1"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CC84DDD"/>
    <w:multiLevelType w:val="hybridMultilevel"/>
    <w:tmpl w:val="C48EFC1C"/>
    <w:lvl w:ilvl="0" w:tplc="7E3677B6">
      <w:start w:val="1"/>
      <w:numFmt w:val="bullet"/>
      <w:lvlText w:val="​"/>
      <w:lvlJc w:val="left"/>
      <w:pPr>
        <w:tabs>
          <w:tab w:val="num" w:pos="720"/>
        </w:tabs>
        <w:ind w:left="720" w:hanging="360"/>
      </w:pPr>
      <w:rPr>
        <w:rFonts w:ascii="Arial" w:hAnsi="Arial" w:hint="default"/>
      </w:rPr>
    </w:lvl>
    <w:lvl w:ilvl="1" w:tplc="FF5C0092" w:tentative="1">
      <w:start w:val="1"/>
      <w:numFmt w:val="bullet"/>
      <w:lvlText w:val="​"/>
      <w:lvlJc w:val="left"/>
      <w:pPr>
        <w:tabs>
          <w:tab w:val="num" w:pos="1440"/>
        </w:tabs>
        <w:ind w:left="1440" w:hanging="360"/>
      </w:pPr>
      <w:rPr>
        <w:rFonts w:ascii="Arial" w:hAnsi="Arial" w:hint="default"/>
      </w:rPr>
    </w:lvl>
    <w:lvl w:ilvl="2" w:tplc="3FE836B6" w:tentative="1">
      <w:start w:val="1"/>
      <w:numFmt w:val="bullet"/>
      <w:lvlText w:val="​"/>
      <w:lvlJc w:val="left"/>
      <w:pPr>
        <w:tabs>
          <w:tab w:val="num" w:pos="2160"/>
        </w:tabs>
        <w:ind w:left="2160" w:hanging="360"/>
      </w:pPr>
      <w:rPr>
        <w:rFonts w:ascii="Arial" w:hAnsi="Arial" w:hint="default"/>
      </w:rPr>
    </w:lvl>
    <w:lvl w:ilvl="3" w:tplc="5C2C9C46" w:tentative="1">
      <w:start w:val="1"/>
      <w:numFmt w:val="bullet"/>
      <w:lvlText w:val="​"/>
      <w:lvlJc w:val="left"/>
      <w:pPr>
        <w:tabs>
          <w:tab w:val="num" w:pos="2880"/>
        </w:tabs>
        <w:ind w:left="2880" w:hanging="360"/>
      </w:pPr>
      <w:rPr>
        <w:rFonts w:ascii="Arial" w:hAnsi="Arial" w:hint="default"/>
      </w:rPr>
    </w:lvl>
    <w:lvl w:ilvl="4" w:tplc="9D06624C" w:tentative="1">
      <w:start w:val="1"/>
      <w:numFmt w:val="bullet"/>
      <w:lvlText w:val="​"/>
      <w:lvlJc w:val="left"/>
      <w:pPr>
        <w:tabs>
          <w:tab w:val="num" w:pos="3600"/>
        </w:tabs>
        <w:ind w:left="3600" w:hanging="360"/>
      </w:pPr>
      <w:rPr>
        <w:rFonts w:ascii="Arial" w:hAnsi="Arial" w:hint="default"/>
      </w:rPr>
    </w:lvl>
    <w:lvl w:ilvl="5" w:tplc="7B2478CA" w:tentative="1">
      <w:start w:val="1"/>
      <w:numFmt w:val="bullet"/>
      <w:lvlText w:val="​"/>
      <w:lvlJc w:val="left"/>
      <w:pPr>
        <w:tabs>
          <w:tab w:val="num" w:pos="4320"/>
        </w:tabs>
        <w:ind w:left="4320" w:hanging="360"/>
      </w:pPr>
      <w:rPr>
        <w:rFonts w:ascii="Arial" w:hAnsi="Arial" w:hint="default"/>
      </w:rPr>
    </w:lvl>
    <w:lvl w:ilvl="6" w:tplc="3CD89B96" w:tentative="1">
      <w:start w:val="1"/>
      <w:numFmt w:val="bullet"/>
      <w:lvlText w:val="​"/>
      <w:lvlJc w:val="left"/>
      <w:pPr>
        <w:tabs>
          <w:tab w:val="num" w:pos="5040"/>
        </w:tabs>
        <w:ind w:left="5040" w:hanging="360"/>
      </w:pPr>
      <w:rPr>
        <w:rFonts w:ascii="Arial" w:hAnsi="Arial" w:hint="default"/>
      </w:rPr>
    </w:lvl>
    <w:lvl w:ilvl="7" w:tplc="68620AAC" w:tentative="1">
      <w:start w:val="1"/>
      <w:numFmt w:val="bullet"/>
      <w:lvlText w:val="​"/>
      <w:lvlJc w:val="left"/>
      <w:pPr>
        <w:tabs>
          <w:tab w:val="num" w:pos="5760"/>
        </w:tabs>
        <w:ind w:left="5760" w:hanging="360"/>
      </w:pPr>
      <w:rPr>
        <w:rFonts w:ascii="Arial" w:hAnsi="Arial" w:hint="default"/>
      </w:rPr>
    </w:lvl>
    <w:lvl w:ilvl="8" w:tplc="EB024F1A" w:tentative="1">
      <w:start w:val="1"/>
      <w:numFmt w:val="bullet"/>
      <w:lvlText w:val="​"/>
      <w:lvlJc w:val="left"/>
      <w:pPr>
        <w:tabs>
          <w:tab w:val="num" w:pos="6480"/>
        </w:tabs>
        <w:ind w:left="6480" w:hanging="360"/>
      </w:pPr>
      <w:rPr>
        <w:rFonts w:ascii="Arial" w:hAnsi="Arial" w:hint="default"/>
      </w:rPr>
    </w:lvl>
  </w:abstractNum>
  <w:num w:numId="1" w16cid:durableId="1592663608">
    <w:abstractNumId w:val="14"/>
  </w:num>
  <w:num w:numId="2" w16cid:durableId="2028175022">
    <w:abstractNumId w:val="20"/>
  </w:num>
  <w:num w:numId="3" w16cid:durableId="420302307">
    <w:abstractNumId w:val="22"/>
  </w:num>
  <w:num w:numId="4" w16cid:durableId="622736560">
    <w:abstractNumId w:val="16"/>
  </w:num>
  <w:num w:numId="5" w16cid:durableId="2105034471">
    <w:abstractNumId w:val="17"/>
  </w:num>
  <w:num w:numId="6" w16cid:durableId="2102021538">
    <w:abstractNumId w:val="15"/>
  </w:num>
  <w:num w:numId="7" w16cid:durableId="1013847897">
    <w:abstractNumId w:val="21"/>
  </w:num>
  <w:num w:numId="8" w16cid:durableId="1267232733">
    <w:abstractNumId w:val="18"/>
  </w:num>
  <w:num w:numId="9" w16cid:durableId="130683757">
    <w:abstractNumId w:val="8"/>
  </w:num>
  <w:num w:numId="10" w16cid:durableId="871188147">
    <w:abstractNumId w:val="3"/>
  </w:num>
  <w:num w:numId="11" w16cid:durableId="118959976">
    <w:abstractNumId w:val="2"/>
  </w:num>
  <w:num w:numId="12" w16cid:durableId="216286530">
    <w:abstractNumId w:val="1"/>
  </w:num>
  <w:num w:numId="13" w16cid:durableId="110131974">
    <w:abstractNumId w:val="0"/>
  </w:num>
  <w:num w:numId="14" w16cid:durableId="1205101717">
    <w:abstractNumId w:val="11"/>
  </w:num>
  <w:num w:numId="15" w16cid:durableId="761142448">
    <w:abstractNumId w:val="9"/>
  </w:num>
  <w:num w:numId="16" w16cid:durableId="693388301">
    <w:abstractNumId w:val="7"/>
  </w:num>
  <w:num w:numId="17" w16cid:durableId="1746611025">
    <w:abstractNumId w:val="6"/>
  </w:num>
  <w:num w:numId="18" w16cid:durableId="649941573">
    <w:abstractNumId w:val="5"/>
  </w:num>
  <w:num w:numId="19" w16cid:durableId="1331064089">
    <w:abstractNumId w:val="4"/>
  </w:num>
  <w:num w:numId="20" w16cid:durableId="371657528">
    <w:abstractNumId w:val="13"/>
  </w:num>
  <w:num w:numId="21" w16cid:durableId="600723918">
    <w:abstractNumId w:val="19"/>
  </w:num>
  <w:num w:numId="22" w16cid:durableId="93944159">
    <w:abstractNumId w:val="12"/>
  </w:num>
  <w:num w:numId="23" w16cid:durableId="505899557">
    <w:abstractNumId w:val="10"/>
  </w:num>
  <w:num w:numId="24" w16cid:durableId="199904956">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353E"/>
    <w:rsid w:val="00005C47"/>
    <w:rsid w:val="000064D6"/>
    <w:rsid w:val="00006E35"/>
    <w:rsid w:val="00011522"/>
    <w:rsid w:val="00011BEC"/>
    <w:rsid w:val="00013232"/>
    <w:rsid w:val="00017E0A"/>
    <w:rsid w:val="00021D97"/>
    <w:rsid w:val="000237A9"/>
    <w:rsid w:val="00026B23"/>
    <w:rsid w:val="00032CD3"/>
    <w:rsid w:val="00033378"/>
    <w:rsid w:val="0003583E"/>
    <w:rsid w:val="00035DD6"/>
    <w:rsid w:val="000363FF"/>
    <w:rsid w:val="00040650"/>
    <w:rsid w:val="00040CE8"/>
    <w:rsid w:val="00040DEC"/>
    <w:rsid w:val="00041B2D"/>
    <w:rsid w:val="000452CD"/>
    <w:rsid w:val="00045D38"/>
    <w:rsid w:val="00047888"/>
    <w:rsid w:val="00047D97"/>
    <w:rsid w:val="00047F54"/>
    <w:rsid w:val="000502C0"/>
    <w:rsid w:val="00050575"/>
    <w:rsid w:val="00052178"/>
    <w:rsid w:val="0005404F"/>
    <w:rsid w:val="00054785"/>
    <w:rsid w:val="00054FEF"/>
    <w:rsid w:val="00061775"/>
    <w:rsid w:val="0006232D"/>
    <w:rsid w:val="00062BEA"/>
    <w:rsid w:val="00063247"/>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55E"/>
    <w:rsid w:val="000B0FBB"/>
    <w:rsid w:val="000B2426"/>
    <w:rsid w:val="000B39A5"/>
    <w:rsid w:val="000B57A2"/>
    <w:rsid w:val="000B5A2B"/>
    <w:rsid w:val="000C0E0E"/>
    <w:rsid w:val="000C17C8"/>
    <w:rsid w:val="000C4D6D"/>
    <w:rsid w:val="000C5471"/>
    <w:rsid w:val="000C727D"/>
    <w:rsid w:val="000C772F"/>
    <w:rsid w:val="000D25CC"/>
    <w:rsid w:val="000D29A3"/>
    <w:rsid w:val="000D2D92"/>
    <w:rsid w:val="000D3C66"/>
    <w:rsid w:val="000D580F"/>
    <w:rsid w:val="000E2910"/>
    <w:rsid w:val="000E3678"/>
    <w:rsid w:val="000E3D98"/>
    <w:rsid w:val="000E42A1"/>
    <w:rsid w:val="000E5D25"/>
    <w:rsid w:val="000E7418"/>
    <w:rsid w:val="000F0587"/>
    <w:rsid w:val="000F1AE6"/>
    <w:rsid w:val="000F2443"/>
    <w:rsid w:val="000F274E"/>
    <w:rsid w:val="000F27E1"/>
    <w:rsid w:val="000F330C"/>
    <w:rsid w:val="000F4953"/>
    <w:rsid w:val="000F5BBC"/>
    <w:rsid w:val="000F75AD"/>
    <w:rsid w:val="000F7C86"/>
    <w:rsid w:val="0010078F"/>
    <w:rsid w:val="00111B20"/>
    <w:rsid w:val="00112C69"/>
    <w:rsid w:val="00112D51"/>
    <w:rsid w:val="00113408"/>
    <w:rsid w:val="00113C5A"/>
    <w:rsid w:val="00113E5E"/>
    <w:rsid w:val="0011458C"/>
    <w:rsid w:val="00114722"/>
    <w:rsid w:val="001169F2"/>
    <w:rsid w:val="00117D27"/>
    <w:rsid w:val="00121FAB"/>
    <w:rsid w:val="0012308F"/>
    <w:rsid w:val="00127396"/>
    <w:rsid w:val="00130E22"/>
    <w:rsid w:val="00131E29"/>
    <w:rsid w:val="00134A55"/>
    <w:rsid w:val="00137FDE"/>
    <w:rsid w:val="00140590"/>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2511"/>
    <w:rsid w:val="00172F1C"/>
    <w:rsid w:val="0017506A"/>
    <w:rsid w:val="00177E1C"/>
    <w:rsid w:val="00177E5E"/>
    <w:rsid w:val="0018406F"/>
    <w:rsid w:val="0018525E"/>
    <w:rsid w:val="0018797C"/>
    <w:rsid w:val="00193268"/>
    <w:rsid w:val="00193655"/>
    <w:rsid w:val="00193CC3"/>
    <w:rsid w:val="00194945"/>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72E"/>
    <w:rsid w:val="001D0D99"/>
    <w:rsid w:val="001D1343"/>
    <w:rsid w:val="001D4B56"/>
    <w:rsid w:val="001D5163"/>
    <w:rsid w:val="001D7A7E"/>
    <w:rsid w:val="001E2936"/>
    <w:rsid w:val="001E2B0D"/>
    <w:rsid w:val="001E476B"/>
    <w:rsid w:val="001E4D17"/>
    <w:rsid w:val="001E507C"/>
    <w:rsid w:val="001E57AB"/>
    <w:rsid w:val="001E67FF"/>
    <w:rsid w:val="001F0349"/>
    <w:rsid w:val="001F2C9A"/>
    <w:rsid w:val="001F2E96"/>
    <w:rsid w:val="001F4B06"/>
    <w:rsid w:val="001F5BD4"/>
    <w:rsid w:val="001F627F"/>
    <w:rsid w:val="002006D5"/>
    <w:rsid w:val="00201CD7"/>
    <w:rsid w:val="00202F64"/>
    <w:rsid w:val="00206A9C"/>
    <w:rsid w:val="00212B9E"/>
    <w:rsid w:val="00212DDA"/>
    <w:rsid w:val="002147C4"/>
    <w:rsid w:val="00216EFA"/>
    <w:rsid w:val="0021765E"/>
    <w:rsid w:val="0021778F"/>
    <w:rsid w:val="00221EE4"/>
    <w:rsid w:val="00224347"/>
    <w:rsid w:val="00224EAE"/>
    <w:rsid w:val="00225670"/>
    <w:rsid w:val="00230204"/>
    <w:rsid w:val="0023028F"/>
    <w:rsid w:val="00230A3C"/>
    <w:rsid w:val="00230B88"/>
    <w:rsid w:val="00231842"/>
    <w:rsid w:val="00231E15"/>
    <w:rsid w:val="002325C8"/>
    <w:rsid w:val="00232D93"/>
    <w:rsid w:val="0023608B"/>
    <w:rsid w:val="00236922"/>
    <w:rsid w:val="00236A18"/>
    <w:rsid w:val="00236C7C"/>
    <w:rsid w:val="00236FC4"/>
    <w:rsid w:val="00240FEC"/>
    <w:rsid w:val="002423A0"/>
    <w:rsid w:val="00245331"/>
    <w:rsid w:val="00246117"/>
    <w:rsid w:val="002476C8"/>
    <w:rsid w:val="00252AD2"/>
    <w:rsid w:val="00252C08"/>
    <w:rsid w:val="002548DB"/>
    <w:rsid w:val="00255E9C"/>
    <w:rsid w:val="00256692"/>
    <w:rsid w:val="00257859"/>
    <w:rsid w:val="0026336D"/>
    <w:rsid w:val="00267F47"/>
    <w:rsid w:val="002746C8"/>
    <w:rsid w:val="00274B2A"/>
    <w:rsid w:val="00276830"/>
    <w:rsid w:val="002772EA"/>
    <w:rsid w:val="00277457"/>
    <w:rsid w:val="0028058D"/>
    <w:rsid w:val="0028110E"/>
    <w:rsid w:val="0028168C"/>
    <w:rsid w:val="00282531"/>
    <w:rsid w:val="00283AE5"/>
    <w:rsid w:val="00284C66"/>
    <w:rsid w:val="00290014"/>
    <w:rsid w:val="0029073F"/>
    <w:rsid w:val="00291676"/>
    <w:rsid w:val="00291AD1"/>
    <w:rsid w:val="00291E39"/>
    <w:rsid w:val="00292C1D"/>
    <w:rsid w:val="00293679"/>
    <w:rsid w:val="00296721"/>
    <w:rsid w:val="00296E4C"/>
    <w:rsid w:val="00297E46"/>
    <w:rsid w:val="002A0553"/>
    <w:rsid w:val="002A1A58"/>
    <w:rsid w:val="002A44A9"/>
    <w:rsid w:val="002A4D2E"/>
    <w:rsid w:val="002B0AFD"/>
    <w:rsid w:val="002B0B15"/>
    <w:rsid w:val="002B14B5"/>
    <w:rsid w:val="002B2991"/>
    <w:rsid w:val="002B3C38"/>
    <w:rsid w:val="002B5926"/>
    <w:rsid w:val="002B6FCD"/>
    <w:rsid w:val="002B72A2"/>
    <w:rsid w:val="002B7380"/>
    <w:rsid w:val="002B7901"/>
    <w:rsid w:val="002C2049"/>
    <w:rsid w:val="002C50AC"/>
    <w:rsid w:val="002C6682"/>
    <w:rsid w:val="002D0CC4"/>
    <w:rsid w:val="002D0CD4"/>
    <w:rsid w:val="002D22C6"/>
    <w:rsid w:val="002D28A9"/>
    <w:rsid w:val="002D7CBC"/>
    <w:rsid w:val="002E497E"/>
    <w:rsid w:val="002E76D1"/>
    <w:rsid w:val="002F0500"/>
    <w:rsid w:val="002F1160"/>
    <w:rsid w:val="002F7A8F"/>
    <w:rsid w:val="00301881"/>
    <w:rsid w:val="00303102"/>
    <w:rsid w:val="00307E7E"/>
    <w:rsid w:val="00310E2F"/>
    <w:rsid w:val="003177AF"/>
    <w:rsid w:val="00317B8C"/>
    <w:rsid w:val="00320015"/>
    <w:rsid w:val="00321AE8"/>
    <w:rsid w:val="00322CF1"/>
    <w:rsid w:val="00327439"/>
    <w:rsid w:val="003274DC"/>
    <w:rsid w:val="00327F8D"/>
    <w:rsid w:val="003301F8"/>
    <w:rsid w:val="00330746"/>
    <w:rsid w:val="00331400"/>
    <w:rsid w:val="003322D8"/>
    <w:rsid w:val="003343C4"/>
    <w:rsid w:val="00340CA2"/>
    <w:rsid w:val="00341E98"/>
    <w:rsid w:val="00347B43"/>
    <w:rsid w:val="0035034F"/>
    <w:rsid w:val="003524F1"/>
    <w:rsid w:val="00352F7A"/>
    <w:rsid w:val="003544D0"/>
    <w:rsid w:val="00356DCD"/>
    <w:rsid w:val="0036129D"/>
    <w:rsid w:val="00370EB8"/>
    <w:rsid w:val="00371045"/>
    <w:rsid w:val="00371B42"/>
    <w:rsid w:val="00372D58"/>
    <w:rsid w:val="003731A5"/>
    <w:rsid w:val="003736DA"/>
    <w:rsid w:val="00373731"/>
    <w:rsid w:val="003751F0"/>
    <w:rsid w:val="0037564F"/>
    <w:rsid w:val="00382A16"/>
    <w:rsid w:val="00384699"/>
    <w:rsid w:val="003866DC"/>
    <w:rsid w:val="003900AC"/>
    <w:rsid w:val="00390999"/>
    <w:rsid w:val="00391EEB"/>
    <w:rsid w:val="00394B7B"/>
    <w:rsid w:val="00395B87"/>
    <w:rsid w:val="00397E34"/>
    <w:rsid w:val="003A0565"/>
    <w:rsid w:val="003A0BB4"/>
    <w:rsid w:val="003A2CC7"/>
    <w:rsid w:val="003A415C"/>
    <w:rsid w:val="003A68DD"/>
    <w:rsid w:val="003A75FD"/>
    <w:rsid w:val="003A7DAF"/>
    <w:rsid w:val="003B3BF6"/>
    <w:rsid w:val="003B4278"/>
    <w:rsid w:val="003B6B7E"/>
    <w:rsid w:val="003C06F7"/>
    <w:rsid w:val="003C1594"/>
    <w:rsid w:val="003C19B7"/>
    <w:rsid w:val="003C4059"/>
    <w:rsid w:val="003C50F1"/>
    <w:rsid w:val="003C511D"/>
    <w:rsid w:val="003C6392"/>
    <w:rsid w:val="003C681A"/>
    <w:rsid w:val="003C7010"/>
    <w:rsid w:val="003C7DAE"/>
    <w:rsid w:val="003C7F96"/>
    <w:rsid w:val="003D2083"/>
    <w:rsid w:val="003D2B0F"/>
    <w:rsid w:val="003D626C"/>
    <w:rsid w:val="003E03EB"/>
    <w:rsid w:val="003E0642"/>
    <w:rsid w:val="003E136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44F8"/>
    <w:rsid w:val="00454D44"/>
    <w:rsid w:val="00455259"/>
    <w:rsid w:val="00455A3C"/>
    <w:rsid w:val="0046155B"/>
    <w:rsid w:val="004634EE"/>
    <w:rsid w:val="00463E8F"/>
    <w:rsid w:val="00464475"/>
    <w:rsid w:val="00466116"/>
    <w:rsid w:val="004705A5"/>
    <w:rsid w:val="004715F4"/>
    <w:rsid w:val="0047275D"/>
    <w:rsid w:val="00475575"/>
    <w:rsid w:val="004761F2"/>
    <w:rsid w:val="00480C04"/>
    <w:rsid w:val="00480E25"/>
    <w:rsid w:val="004863EC"/>
    <w:rsid w:val="00487542"/>
    <w:rsid w:val="0049074E"/>
    <w:rsid w:val="004907F4"/>
    <w:rsid w:val="00493172"/>
    <w:rsid w:val="004955BB"/>
    <w:rsid w:val="004A0EA9"/>
    <w:rsid w:val="004A3C5B"/>
    <w:rsid w:val="004A461C"/>
    <w:rsid w:val="004A47DC"/>
    <w:rsid w:val="004A52B6"/>
    <w:rsid w:val="004B29BE"/>
    <w:rsid w:val="004B366C"/>
    <w:rsid w:val="004B3A45"/>
    <w:rsid w:val="004B4063"/>
    <w:rsid w:val="004B4F7D"/>
    <w:rsid w:val="004B4F84"/>
    <w:rsid w:val="004B5505"/>
    <w:rsid w:val="004B55E8"/>
    <w:rsid w:val="004B5CB6"/>
    <w:rsid w:val="004C2FA8"/>
    <w:rsid w:val="004C3497"/>
    <w:rsid w:val="004C352C"/>
    <w:rsid w:val="004C3BA7"/>
    <w:rsid w:val="004C5035"/>
    <w:rsid w:val="004D1014"/>
    <w:rsid w:val="004D3633"/>
    <w:rsid w:val="004E1CB1"/>
    <w:rsid w:val="004E2D7E"/>
    <w:rsid w:val="004E4B6A"/>
    <w:rsid w:val="004E6300"/>
    <w:rsid w:val="004F1DDB"/>
    <w:rsid w:val="004F2995"/>
    <w:rsid w:val="004F324F"/>
    <w:rsid w:val="004F4064"/>
    <w:rsid w:val="004F5136"/>
    <w:rsid w:val="004F688F"/>
    <w:rsid w:val="004F68C0"/>
    <w:rsid w:val="004F7624"/>
    <w:rsid w:val="005007C8"/>
    <w:rsid w:val="005021C7"/>
    <w:rsid w:val="00502D84"/>
    <w:rsid w:val="00505FAA"/>
    <w:rsid w:val="00506ACA"/>
    <w:rsid w:val="00506CD0"/>
    <w:rsid w:val="00510980"/>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20B4"/>
    <w:rsid w:val="005437B4"/>
    <w:rsid w:val="0054471F"/>
    <w:rsid w:val="005459F5"/>
    <w:rsid w:val="00545B68"/>
    <w:rsid w:val="00546CB9"/>
    <w:rsid w:val="00546DF7"/>
    <w:rsid w:val="0055121B"/>
    <w:rsid w:val="00552B6E"/>
    <w:rsid w:val="00556D4F"/>
    <w:rsid w:val="00557A71"/>
    <w:rsid w:val="00560AED"/>
    <w:rsid w:val="0056231D"/>
    <w:rsid w:val="005623DD"/>
    <w:rsid w:val="00563B23"/>
    <w:rsid w:val="0056452E"/>
    <w:rsid w:val="005656FB"/>
    <w:rsid w:val="00567010"/>
    <w:rsid w:val="005678EB"/>
    <w:rsid w:val="00570CA6"/>
    <w:rsid w:val="00570F18"/>
    <w:rsid w:val="0057123D"/>
    <w:rsid w:val="005720AF"/>
    <w:rsid w:val="0057387E"/>
    <w:rsid w:val="00583941"/>
    <w:rsid w:val="005847DC"/>
    <w:rsid w:val="005856EF"/>
    <w:rsid w:val="00585CC6"/>
    <w:rsid w:val="00591893"/>
    <w:rsid w:val="00592351"/>
    <w:rsid w:val="00593457"/>
    <w:rsid w:val="00594C42"/>
    <w:rsid w:val="00594CEF"/>
    <w:rsid w:val="00596841"/>
    <w:rsid w:val="0059684A"/>
    <w:rsid w:val="005A0345"/>
    <w:rsid w:val="005A0903"/>
    <w:rsid w:val="005A1633"/>
    <w:rsid w:val="005A2203"/>
    <w:rsid w:val="005A25B7"/>
    <w:rsid w:val="005A26EE"/>
    <w:rsid w:val="005A33F3"/>
    <w:rsid w:val="005A3C0F"/>
    <w:rsid w:val="005A3EC1"/>
    <w:rsid w:val="005A5AB1"/>
    <w:rsid w:val="005A658B"/>
    <w:rsid w:val="005A77E1"/>
    <w:rsid w:val="005B1B79"/>
    <w:rsid w:val="005B2F2A"/>
    <w:rsid w:val="005B6F85"/>
    <w:rsid w:val="005B7B45"/>
    <w:rsid w:val="005C00A9"/>
    <w:rsid w:val="005C1908"/>
    <w:rsid w:val="005C4078"/>
    <w:rsid w:val="005C74D1"/>
    <w:rsid w:val="005C7C7C"/>
    <w:rsid w:val="005D0735"/>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108D1"/>
    <w:rsid w:val="00611055"/>
    <w:rsid w:val="00611687"/>
    <w:rsid w:val="00612491"/>
    <w:rsid w:val="00613269"/>
    <w:rsid w:val="00614F7E"/>
    <w:rsid w:val="0061601E"/>
    <w:rsid w:val="00617053"/>
    <w:rsid w:val="00617E2A"/>
    <w:rsid w:val="00620ECE"/>
    <w:rsid w:val="0062106A"/>
    <w:rsid w:val="006226CD"/>
    <w:rsid w:val="00622E77"/>
    <w:rsid w:val="00623085"/>
    <w:rsid w:val="00623758"/>
    <w:rsid w:val="00624AE2"/>
    <w:rsid w:val="00624DDA"/>
    <w:rsid w:val="00627B44"/>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1FF2"/>
    <w:rsid w:val="00662C87"/>
    <w:rsid w:val="0066345D"/>
    <w:rsid w:val="00670027"/>
    <w:rsid w:val="00675EB3"/>
    <w:rsid w:val="00676843"/>
    <w:rsid w:val="00677228"/>
    <w:rsid w:val="006801CA"/>
    <w:rsid w:val="00680B56"/>
    <w:rsid w:val="00682746"/>
    <w:rsid w:val="00683717"/>
    <w:rsid w:val="00684132"/>
    <w:rsid w:val="00685B75"/>
    <w:rsid w:val="006867CC"/>
    <w:rsid w:val="00690C50"/>
    <w:rsid w:val="00692EE8"/>
    <w:rsid w:val="00696362"/>
    <w:rsid w:val="006A04AE"/>
    <w:rsid w:val="006A0E52"/>
    <w:rsid w:val="006A25B4"/>
    <w:rsid w:val="006A30DB"/>
    <w:rsid w:val="006A4A62"/>
    <w:rsid w:val="006A7552"/>
    <w:rsid w:val="006B01B9"/>
    <w:rsid w:val="006B0439"/>
    <w:rsid w:val="006B0D10"/>
    <w:rsid w:val="006B0EC2"/>
    <w:rsid w:val="006B13D4"/>
    <w:rsid w:val="006B3ABE"/>
    <w:rsid w:val="006B5383"/>
    <w:rsid w:val="006B6A37"/>
    <w:rsid w:val="006D4517"/>
    <w:rsid w:val="006D7B5A"/>
    <w:rsid w:val="006E1E9E"/>
    <w:rsid w:val="006E4279"/>
    <w:rsid w:val="006E4913"/>
    <w:rsid w:val="006E5555"/>
    <w:rsid w:val="006E5B47"/>
    <w:rsid w:val="006E7DAC"/>
    <w:rsid w:val="006F15CC"/>
    <w:rsid w:val="006F1CCA"/>
    <w:rsid w:val="006F2C0E"/>
    <w:rsid w:val="006F640B"/>
    <w:rsid w:val="0070043C"/>
    <w:rsid w:val="007046FB"/>
    <w:rsid w:val="00705A61"/>
    <w:rsid w:val="00710424"/>
    <w:rsid w:val="007109F6"/>
    <w:rsid w:val="00713F83"/>
    <w:rsid w:val="00715F45"/>
    <w:rsid w:val="00716604"/>
    <w:rsid w:val="0071719A"/>
    <w:rsid w:val="0071726D"/>
    <w:rsid w:val="007176A7"/>
    <w:rsid w:val="007204B4"/>
    <w:rsid w:val="00720781"/>
    <w:rsid w:val="00722B07"/>
    <w:rsid w:val="00722BC9"/>
    <w:rsid w:val="00723632"/>
    <w:rsid w:val="007238DA"/>
    <w:rsid w:val="00725052"/>
    <w:rsid w:val="00725C3B"/>
    <w:rsid w:val="00727027"/>
    <w:rsid w:val="0073000D"/>
    <w:rsid w:val="0073022F"/>
    <w:rsid w:val="00731F2B"/>
    <w:rsid w:val="00734AFD"/>
    <w:rsid w:val="00735E32"/>
    <w:rsid w:val="00736BEA"/>
    <w:rsid w:val="00740095"/>
    <w:rsid w:val="00742862"/>
    <w:rsid w:val="00745DD0"/>
    <w:rsid w:val="00746455"/>
    <w:rsid w:val="00746F96"/>
    <w:rsid w:val="00751546"/>
    <w:rsid w:val="007541CE"/>
    <w:rsid w:val="007545E5"/>
    <w:rsid w:val="00755577"/>
    <w:rsid w:val="00756B91"/>
    <w:rsid w:val="00757E96"/>
    <w:rsid w:val="00760A86"/>
    <w:rsid w:val="0076741B"/>
    <w:rsid w:val="00770E04"/>
    <w:rsid w:val="00771D19"/>
    <w:rsid w:val="0077277F"/>
    <w:rsid w:val="00774584"/>
    <w:rsid w:val="007747BE"/>
    <w:rsid w:val="00781625"/>
    <w:rsid w:val="00781792"/>
    <w:rsid w:val="00782512"/>
    <w:rsid w:val="00785A6D"/>
    <w:rsid w:val="00786B68"/>
    <w:rsid w:val="007872F6"/>
    <w:rsid w:val="00792CC3"/>
    <w:rsid w:val="007947C6"/>
    <w:rsid w:val="00794CF3"/>
    <w:rsid w:val="00794E4C"/>
    <w:rsid w:val="00795109"/>
    <w:rsid w:val="0079614E"/>
    <w:rsid w:val="007A0160"/>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6974"/>
    <w:rsid w:val="007D7780"/>
    <w:rsid w:val="007E0A4B"/>
    <w:rsid w:val="007E326A"/>
    <w:rsid w:val="007E3EDF"/>
    <w:rsid w:val="007E541D"/>
    <w:rsid w:val="007F1637"/>
    <w:rsid w:val="007F1B11"/>
    <w:rsid w:val="007F1FBA"/>
    <w:rsid w:val="007F4ABD"/>
    <w:rsid w:val="007F7212"/>
    <w:rsid w:val="007F7B5C"/>
    <w:rsid w:val="00800307"/>
    <w:rsid w:val="00800365"/>
    <w:rsid w:val="00800399"/>
    <w:rsid w:val="008014EC"/>
    <w:rsid w:val="008029BA"/>
    <w:rsid w:val="008075EA"/>
    <w:rsid w:val="008111C3"/>
    <w:rsid w:val="00812CF5"/>
    <w:rsid w:val="00813471"/>
    <w:rsid w:val="00814198"/>
    <w:rsid w:val="00814390"/>
    <w:rsid w:val="00814679"/>
    <w:rsid w:val="00814849"/>
    <w:rsid w:val="00821F46"/>
    <w:rsid w:val="00822050"/>
    <w:rsid w:val="00822B92"/>
    <w:rsid w:val="00825D4F"/>
    <w:rsid w:val="00827DBA"/>
    <w:rsid w:val="00830D57"/>
    <w:rsid w:val="00835916"/>
    <w:rsid w:val="0083650C"/>
    <w:rsid w:val="0084045B"/>
    <w:rsid w:val="00841B72"/>
    <w:rsid w:val="0084658D"/>
    <w:rsid w:val="0084695E"/>
    <w:rsid w:val="00850650"/>
    <w:rsid w:val="008524C4"/>
    <w:rsid w:val="0085268C"/>
    <w:rsid w:val="00854ABD"/>
    <w:rsid w:val="00856ED6"/>
    <w:rsid w:val="00864A50"/>
    <w:rsid w:val="00865C11"/>
    <w:rsid w:val="00866290"/>
    <w:rsid w:val="00866978"/>
    <w:rsid w:val="00866D9F"/>
    <w:rsid w:val="00871D3C"/>
    <w:rsid w:val="00872129"/>
    <w:rsid w:val="00872DC6"/>
    <w:rsid w:val="008730BC"/>
    <w:rsid w:val="00874D66"/>
    <w:rsid w:val="00875085"/>
    <w:rsid w:val="0087590B"/>
    <w:rsid w:val="00877D54"/>
    <w:rsid w:val="0088208A"/>
    <w:rsid w:val="00882EAC"/>
    <w:rsid w:val="0088306B"/>
    <w:rsid w:val="0088798F"/>
    <w:rsid w:val="0089084B"/>
    <w:rsid w:val="00890B69"/>
    <w:rsid w:val="008936B3"/>
    <w:rsid w:val="008958D8"/>
    <w:rsid w:val="008976A7"/>
    <w:rsid w:val="008A0E63"/>
    <w:rsid w:val="008A2257"/>
    <w:rsid w:val="008A33CE"/>
    <w:rsid w:val="008B1F88"/>
    <w:rsid w:val="008B298E"/>
    <w:rsid w:val="008B31D3"/>
    <w:rsid w:val="008B333F"/>
    <w:rsid w:val="008B383F"/>
    <w:rsid w:val="008B38AD"/>
    <w:rsid w:val="008B3FBF"/>
    <w:rsid w:val="008B44DA"/>
    <w:rsid w:val="008B4A06"/>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5911"/>
    <w:rsid w:val="00906476"/>
    <w:rsid w:val="00907061"/>
    <w:rsid w:val="00907834"/>
    <w:rsid w:val="0090788B"/>
    <w:rsid w:val="009079B2"/>
    <w:rsid w:val="009118A0"/>
    <w:rsid w:val="00913D48"/>
    <w:rsid w:val="009145F6"/>
    <w:rsid w:val="00917246"/>
    <w:rsid w:val="00917547"/>
    <w:rsid w:val="0091759A"/>
    <w:rsid w:val="00920540"/>
    <w:rsid w:val="00920F36"/>
    <w:rsid w:val="00922F8C"/>
    <w:rsid w:val="0092325A"/>
    <w:rsid w:val="00924BD8"/>
    <w:rsid w:val="009262FA"/>
    <w:rsid w:val="009267A5"/>
    <w:rsid w:val="00927A82"/>
    <w:rsid w:val="009314DA"/>
    <w:rsid w:val="00931700"/>
    <w:rsid w:val="00933951"/>
    <w:rsid w:val="00935B43"/>
    <w:rsid w:val="009364E2"/>
    <w:rsid w:val="009371D6"/>
    <w:rsid w:val="00937BFF"/>
    <w:rsid w:val="009410FA"/>
    <w:rsid w:val="009430F7"/>
    <w:rsid w:val="00946916"/>
    <w:rsid w:val="009475A6"/>
    <w:rsid w:val="00950C28"/>
    <w:rsid w:val="00951993"/>
    <w:rsid w:val="0095213A"/>
    <w:rsid w:val="00953E57"/>
    <w:rsid w:val="00954CC0"/>
    <w:rsid w:val="00955C25"/>
    <w:rsid w:val="00956BB5"/>
    <w:rsid w:val="00956EE1"/>
    <w:rsid w:val="00957676"/>
    <w:rsid w:val="009621B2"/>
    <w:rsid w:val="00963A1A"/>
    <w:rsid w:val="00964590"/>
    <w:rsid w:val="0096654A"/>
    <w:rsid w:val="00971196"/>
    <w:rsid w:val="00973755"/>
    <w:rsid w:val="00977258"/>
    <w:rsid w:val="00980736"/>
    <w:rsid w:val="00981704"/>
    <w:rsid w:val="0098182C"/>
    <w:rsid w:val="00983F39"/>
    <w:rsid w:val="00984390"/>
    <w:rsid w:val="00985839"/>
    <w:rsid w:val="00992952"/>
    <w:rsid w:val="00992D61"/>
    <w:rsid w:val="00995C91"/>
    <w:rsid w:val="00995EE7"/>
    <w:rsid w:val="00996BF1"/>
    <w:rsid w:val="00997009"/>
    <w:rsid w:val="0099745E"/>
    <w:rsid w:val="009A03A3"/>
    <w:rsid w:val="009A2ACF"/>
    <w:rsid w:val="009A481E"/>
    <w:rsid w:val="009B06F1"/>
    <w:rsid w:val="009B3397"/>
    <w:rsid w:val="009B34F2"/>
    <w:rsid w:val="009B3C36"/>
    <w:rsid w:val="009B51E3"/>
    <w:rsid w:val="009B7220"/>
    <w:rsid w:val="009B76CB"/>
    <w:rsid w:val="009B7D6C"/>
    <w:rsid w:val="009C04EB"/>
    <w:rsid w:val="009C1AD6"/>
    <w:rsid w:val="009C28E1"/>
    <w:rsid w:val="009C2915"/>
    <w:rsid w:val="009C2E55"/>
    <w:rsid w:val="009C3DB4"/>
    <w:rsid w:val="009C3F13"/>
    <w:rsid w:val="009C3F24"/>
    <w:rsid w:val="009C5A80"/>
    <w:rsid w:val="009C7C8F"/>
    <w:rsid w:val="009D0450"/>
    <w:rsid w:val="009D1594"/>
    <w:rsid w:val="009D1FBA"/>
    <w:rsid w:val="009D332F"/>
    <w:rsid w:val="009D580B"/>
    <w:rsid w:val="009D6294"/>
    <w:rsid w:val="009E6ACF"/>
    <w:rsid w:val="009F0C32"/>
    <w:rsid w:val="009F461F"/>
    <w:rsid w:val="00A006D3"/>
    <w:rsid w:val="00A01305"/>
    <w:rsid w:val="00A0259C"/>
    <w:rsid w:val="00A036CB"/>
    <w:rsid w:val="00A0546A"/>
    <w:rsid w:val="00A061CA"/>
    <w:rsid w:val="00A06AAA"/>
    <w:rsid w:val="00A10E38"/>
    <w:rsid w:val="00A135B3"/>
    <w:rsid w:val="00A1434D"/>
    <w:rsid w:val="00A14953"/>
    <w:rsid w:val="00A167B9"/>
    <w:rsid w:val="00A176A1"/>
    <w:rsid w:val="00A17DB5"/>
    <w:rsid w:val="00A20A09"/>
    <w:rsid w:val="00A20C64"/>
    <w:rsid w:val="00A22A14"/>
    <w:rsid w:val="00A23526"/>
    <w:rsid w:val="00A27149"/>
    <w:rsid w:val="00A2793B"/>
    <w:rsid w:val="00A30105"/>
    <w:rsid w:val="00A31ADE"/>
    <w:rsid w:val="00A35D3C"/>
    <w:rsid w:val="00A41C95"/>
    <w:rsid w:val="00A442F1"/>
    <w:rsid w:val="00A46ABD"/>
    <w:rsid w:val="00A46C18"/>
    <w:rsid w:val="00A470CE"/>
    <w:rsid w:val="00A50344"/>
    <w:rsid w:val="00A503E9"/>
    <w:rsid w:val="00A50E65"/>
    <w:rsid w:val="00A52E2E"/>
    <w:rsid w:val="00A5457C"/>
    <w:rsid w:val="00A5613C"/>
    <w:rsid w:val="00A570EE"/>
    <w:rsid w:val="00A572B3"/>
    <w:rsid w:val="00A57C48"/>
    <w:rsid w:val="00A57EB2"/>
    <w:rsid w:val="00A62463"/>
    <w:rsid w:val="00A6391E"/>
    <w:rsid w:val="00A649D3"/>
    <w:rsid w:val="00A656FD"/>
    <w:rsid w:val="00A6645C"/>
    <w:rsid w:val="00A70863"/>
    <w:rsid w:val="00A727FC"/>
    <w:rsid w:val="00A72E35"/>
    <w:rsid w:val="00A7300A"/>
    <w:rsid w:val="00A7414F"/>
    <w:rsid w:val="00A745E5"/>
    <w:rsid w:val="00A7627C"/>
    <w:rsid w:val="00A81405"/>
    <w:rsid w:val="00A82FF0"/>
    <w:rsid w:val="00A92670"/>
    <w:rsid w:val="00A96434"/>
    <w:rsid w:val="00AA2944"/>
    <w:rsid w:val="00AA3179"/>
    <w:rsid w:val="00AB1635"/>
    <w:rsid w:val="00AB297D"/>
    <w:rsid w:val="00AC031E"/>
    <w:rsid w:val="00AC31F2"/>
    <w:rsid w:val="00AC35C4"/>
    <w:rsid w:val="00AC4154"/>
    <w:rsid w:val="00AD18B4"/>
    <w:rsid w:val="00AD4FB0"/>
    <w:rsid w:val="00AD7F13"/>
    <w:rsid w:val="00AE117D"/>
    <w:rsid w:val="00AE1843"/>
    <w:rsid w:val="00AE23F9"/>
    <w:rsid w:val="00AE2430"/>
    <w:rsid w:val="00AE4000"/>
    <w:rsid w:val="00AE5452"/>
    <w:rsid w:val="00AE6188"/>
    <w:rsid w:val="00AE7AF0"/>
    <w:rsid w:val="00AF4AE5"/>
    <w:rsid w:val="00AF6D11"/>
    <w:rsid w:val="00B01B17"/>
    <w:rsid w:val="00B04103"/>
    <w:rsid w:val="00B047E9"/>
    <w:rsid w:val="00B05867"/>
    <w:rsid w:val="00B07BDD"/>
    <w:rsid w:val="00B10EC0"/>
    <w:rsid w:val="00B123FF"/>
    <w:rsid w:val="00B134B6"/>
    <w:rsid w:val="00B142F4"/>
    <w:rsid w:val="00B1645D"/>
    <w:rsid w:val="00B16CC2"/>
    <w:rsid w:val="00B17E1E"/>
    <w:rsid w:val="00B21C56"/>
    <w:rsid w:val="00B24AE7"/>
    <w:rsid w:val="00B25103"/>
    <w:rsid w:val="00B27A8F"/>
    <w:rsid w:val="00B27B2E"/>
    <w:rsid w:val="00B31D2B"/>
    <w:rsid w:val="00B31E2C"/>
    <w:rsid w:val="00B336AA"/>
    <w:rsid w:val="00B34173"/>
    <w:rsid w:val="00B362ED"/>
    <w:rsid w:val="00B4166B"/>
    <w:rsid w:val="00B418ED"/>
    <w:rsid w:val="00B42703"/>
    <w:rsid w:val="00B43502"/>
    <w:rsid w:val="00B4391E"/>
    <w:rsid w:val="00B46384"/>
    <w:rsid w:val="00B513B4"/>
    <w:rsid w:val="00B514DC"/>
    <w:rsid w:val="00B522AA"/>
    <w:rsid w:val="00B60A84"/>
    <w:rsid w:val="00B60AED"/>
    <w:rsid w:val="00B60B0D"/>
    <w:rsid w:val="00B627D5"/>
    <w:rsid w:val="00B62AB3"/>
    <w:rsid w:val="00B63B5B"/>
    <w:rsid w:val="00B64E9D"/>
    <w:rsid w:val="00B678D4"/>
    <w:rsid w:val="00B70343"/>
    <w:rsid w:val="00B708E8"/>
    <w:rsid w:val="00B71CD8"/>
    <w:rsid w:val="00B7404A"/>
    <w:rsid w:val="00B75AC6"/>
    <w:rsid w:val="00B761A5"/>
    <w:rsid w:val="00B81F91"/>
    <w:rsid w:val="00B839BA"/>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A70E9"/>
    <w:rsid w:val="00BB07FC"/>
    <w:rsid w:val="00BB0B67"/>
    <w:rsid w:val="00BB2970"/>
    <w:rsid w:val="00BC34F6"/>
    <w:rsid w:val="00BC4EF0"/>
    <w:rsid w:val="00BC6E99"/>
    <w:rsid w:val="00BC7C00"/>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FA9"/>
    <w:rsid w:val="00C02033"/>
    <w:rsid w:val="00C05FD9"/>
    <w:rsid w:val="00C06BBC"/>
    <w:rsid w:val="00C06C54"/>
    <w:rsid w:val="00C105ED"/>
    <w:rsid w:val="00C109F0"/>
    <w:rsid w:val="00C11925"/>
    <w:rsid w:val="00C120C1"/>
    <w:rsid w:val="00C13AC2"/>
    <w:rsid w:val="00C16BE6"/>
    <w:rsid w:val="00C20BEA"/>
    <w:rsid w:val="00C21E38"/>
    <w:rsid w:val="00C2433C"/>
    <w:rsid w:val="00C24C84"/>
    <w:rsid w:val="00C24D43"/>
    <w:rsid w:val="00C26014"/>
    <w:rsid w:val="00C264F8"/>
    <w:rsid w:val="00C27D23"/>
    <w:rsid w:val="00C31313"/>
    <w:rsid w:val="00C32874"/>
    <w:rsid w:val="00C37286"/>
    <w:rsid w:val="00C41668"/>
    <w:rsid w:val="00C43488"/>
    <w:rsid w:val="00C44F7A"/>
    <w:rsid w:val="00C45666"/>
    <w:rsid w:val="00C47754"/>
    <w:rsid w:val="00C47D30"/>
    <w:rsid w:val="00C500E2"/>
    <w:rsid w:val="00C5024B"/>
    <w:rsid w:val="00C557BA"/>
    <w:rsid w:val="00C600E8"/>
    <w:rsid w:val="00C64618"/>
    <w:rsid w:val="00C70D0F"/>
    <w:rsid w:val="00C7219E"/>
    <w:rsid w:val="00C72DAA"/>
    <w:rsid w:val="00C745D1"/>
    <w:rsid w:val="00C7758D"/>
    <w:rsid w:val="00C77777"/>
    <w:rsid w:val="00C8318D"/>
    <w:rsid w:val="00C83387"/>
    <w:rsid w:val="00C83AA5"/>
    <w:rsid w:val="00C83C98"/>
    <w:rsid w:val="00C8761B"/>
    <w:rsid w:val="00C913FF"/>
    <w:rsid w:val="00C925DE"/>
    <w:rsid w:val="00C941AD"/>
    <w:rsid w:val="00C9639A"/>
    <w:rsid w:val="00C97DC8"/>
    <w:rsid w:val="00CA04A9"/>
    <w:rsid w:val="00CA424D"/>
    <w:rsid w:val="00CA6175"/>
    <w:rsid w:val="00CA74D2"/>
    <w:rsid w:val="00CA77AC"/>
    <w:rsid w:val="00CB089A"/>
    <w:rsid w:val="00CB0974"/>
    <w:rsid w:val="00CB4525"/>
    <w:rsid w:val="00CB72AF"/>
    <w:rsid w:val="00CB7359"/>
    <w:rsid w:val="00CC0133"/>
    <w:rsid w:val="00CC18C3"/>
    <w:rsid w:val="00CC4530"/>
    <w:rsid w:val="00CC56BB"/>
    <w:rsid w:val="00CC63DD"/>
    <w:rsid w:val="00CC6CA7"/>
    <w:rsid w:val="00CD18B1"/>
    <w:rsid w:val="00CD1D5F"/>
    <w:rsid w:val="00CD28D1"/>
    <w:rsid w:val="00CD30D0"/>
    <w:rsid w:val="00CD54A9"/>
    <w:rsid w:val="00CE124A"/>
    <w:rsid w:val="00CE2A97"/>
    <w:rsid w:val="00CE45DD"/>
    <w:rsid w:val="00CE4D2A"/>
    <w:rsid w:val="00CF0155"/>
    <w:rsid w:val="00CF2C23"/>
    <w:rsid w:val="00CF2EC3"/>
    <w:rsid w:val="00CF3927"/>
    <w:rsid w:val="00CF39E9"/>
    <w:rsid w:val="00CF44B0"/>
    <w:rsid w:val="00CF4C62"/>
    <w:rsid w:val="00CF79CE"/>
    <w:rsid w:val="00D0502F"/>
    <w:rsid w:val="00D0697C"/>
    <w:rsid w:val="00D07F62"/>
    <w:rsid w:val="00D10B90"/>
    <w:rsid w:val="00D113F1"/>
    <w:rsid w:val="00D118DA"/>
    <w:rsid w:val="00D12387"/>
    <w:rsid w:val="00D13663"/>
    <w:rsid w:val="00D13E3F"/>
    <w:rsid w:val="00D149A1"/>
    <w:rsid w:val="00D17B15"/>
    <w:rsid w:val="00D20884"/>
    <w:rsid w:val="00D20D3E"/>
    <w:rsid w:val="00D22687"/>
    <w:rsid w:val="00D22DFC"/>
    <w:rsid w:val="00D25AA5"/>
    <w:rsid w:val="00D25C07"/>
    <w:rsid w:val="00D260E2"/>
    <w:rsid w:val="00D26951"/>
    <w:rsid w:val="00D2779E"/>
    <w:rsid w:val="00D325C8"/>
    <w:rsid w:val="00D32759"/>
    <w:rsid w:val="00D340A4"/>
    <w:rsid w:val="00D340CA"/>
    <w:rsid w:val="00D34291"/>
    <w:rsid w:val="00D404D5"/>
    <w:rsid w:val="00D40A73"/>
    <w:rsid w:val="00D40EA0"/>
    <w:rsid w:val="00D42F1B"/>
    <w:rsid w:val="00D4392D"/>
    <w:rsid w:val="00D454D4"/>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C1F"/>
    <w:rsid w:val="00D83636"/>
    <w:rsid w:val="00D85F98"/>
    <w:rsid w:val="00D867BC"/>
    <w:rsid w:val="00D869C3"/>
    <w:rsid w:val="00D905D5"/>
    <w:rsid w:val="00D91AE1"/>
    <w:rsid w:val="00DA4689"/>
    <w:rsid w:val="00DA474C"/>
    <w:rsid w:val="00DA4891"/>
    <w:rsid w:val="00DA4926"/>
    <w:rsid w:val="00DA6B7D"/>
    <w:rsid w:val="00DB02C0"/>
    <w:rsid w:val="00DB0357"/>
    <w:rsid w:val="00DB2227"/>
    <w:rsid w:val="00DB23F6"/>
    <w:rsid w:val="00DB5D01"/>
    <w:rsid w:val="00DB79E4"/>
    <w:rsid w:val="00DC06A4"/>
    <w:rsid w:val="00DC2BF8"/>
    <w:rsid w:val="00DC3459"/>
    <w:rsid w:val="00DC3B22"/>
    <w:rsid w:val="00DD30AF"/>
    <w:rsid w:val="00DD7636"/>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EC2"/>
    <w:rsid w:val="00E167E1"/>
    <w:rsid w:val="00E21E8C"/>
    <w:rsid w:val="00E250B5"/>
    <w:rsid w:val="00E2708D"/>
    <w:rsid w:val="00E270E6"/>
    <w:rsid w:val="00E2770A"/>
    <w:rsid w:val="00E33737"/>
    <w:rsid w:val="00E33CD1"/>
    <w:rsid w:val="00E44250"/>
    <w:rsid w:val="00E47E96"/>
    <w:rsid w:val="00E53631"/>
    <w:rsid w:val="00E5420C"/>
    <w:rsid w:val="00E56339"/>
    <w:rsid w:val="00E56ECC"/>
    <w:rsid w:val="00E57FEE"/>
    <w:rsid w:val="00E60B6D"/>
    <w:rsid w:val="00E629C3"/>
    <w:rsid w:val="00E667B4"/>
    <w:rsid w:val="00E715FD"/>
    <w:rsid w:val="00E71601"/>
    <w:rsid w:val="00E71F11"/>
    <w:rsid w:val="00E736B3"/>
    <w:rsid w:val="00E73C8D"/>
    <w:rsid w:val="00E758D8"/>
    <w:rsid w:val="00E75C91"/>
    <w:rsid w:val="00E7728D"/>
    <w:rsid w:val="00E7795C"/>
    <w:rsid w:val="00E83C37"/>
    <w:rsid w:val="00E87B8E"/>
    <w:rsid w:val="00E900D1"/>
    <w:rsid w:val="00E90673"/>
    <w:rsid w:val="00E92149"/>
    <w:rsid w:val="00E926EA"/>
    <w:rsid w:val="00E932CE"/>
    <w:rsid w:val="00E9330B"/>
    <w:rsid w:val="00E9485B"/>
    <w:rsid w:val="00E96BC6"/>
    <w:rsid w:val="00EA00F3"/>
    <w:rsid w:val="00EA07A3"/>
    <w:rsid w:val="00EA3A4B"/>
    <w:rsid w:val="00EA6C48"/>
    <w:rsid w:val="00EA71E1"/>
    <w:rsid w:val="00EB26CD"/>
    <w:rsid w:val="00EB3FB0"/>
    <w:rsid w:val="00EB4C4B"/>
    <w:rsid w:val="00EB5A09"/>
    <w:rsid w:val="00EB6E94"/>
    <w:rsid w:val="00EC1C37"/>
    <w:rsid w:val="00EC4A87"/>
    <w:rsid w:val="00EC6271"/>
    <w:rsid w:val="00ED086D"/>
    <w:rsid w:val="00ED0F0B"/>
    <w:rsid w:val="00ED2EBC"/>
    <w:rsid w:val="00ED4755"/>
    <w:rsid w:val="00ED584C"/>
    <w:rsid w:val="00ED7431"/>
    <w:rsid w:val="00EE3BFD"/>
    <w:rsid w:val="00EE5A58"/>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5123"/>
    <w:rsid w:val="00F4578F"/>
    <w:rsid w:val="00F46149"/>
    <w:rsid w:val="00F46952"/>
    <w:rsid w:val="00F52603"/>
    <w:rsid w:val="00F52760"/>
    <w:rsid w:val="00F60A53"/>
    <w:rsid w:val="00F62F45"/>
    <w:rsid w:val="00F6309B"/>
    <w:rsid w:val="00F64615"/>
    <w:rsid w:val="00F65669"/>
    <w:rsid w:val="00F71993"/>
    <w:rsid w:val="00F72BBB"/>
    <w:rsid w:val="00F735E8"/>
    <w:rsid w:val="00F739F2"/>
    <w:rsid w:val="00F73CCF"/>
    <w:rsid w:val="00F74FE5"/>
    <w:rsid w:val="00F750B6"/>
    <w:rsid w:val="00F76B07"/>
    <w:rsid w:val="00F80AE3"/>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B0D18"/>
    <w:rsid w:val="00FB1517"/>
    <w:rsid w:val="00FB4712"/>
    <w:rsid w:val="00FB582F"/>
    <w:rsid w:val="00FB6B5D"/>
    <w:rsid w:val="00FC082C"/>
    <w:rsid w:val="00FC2426"/>
    <w:rsid w:val="00FC3210"/>
    <w:rsid w:val="00FC3827"/>
    <w:rsid w:val="00FC3AF0"/>
    <w:rsid w:val="00FC3BFD"/>
    <w:rsid w:val="00FC4B9F"/>
    <w:rsid w:val="00FC4DD0"/>
    <w:rsid w:val="00FC6196"/>
    <w:rsid w:val="00FC654F"/>
    <w:rsid w:val="00FC77AF"/>
    <w:rsid w:val="00FC79C6"/>
    <w:rsid w:val="00FD00C2"/>
    <w:rsid w:val="00FD1226"/>
    <w:rsid w:val="00FD6B02"/>
    <w:rsid w:val="00FE0F32"/>
    <w:rsid w:val="00FE11DF"/>
    <w:rsid w:val="00FE2E9C"/>
    <w:rsid w:val="00FE3920"/>
    <w:rsid w:val="00FE62AA"/>
    <w:rsid w:val="00FF047B"/>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A7BEC"/>
  <w15:docId w15:val="{E5870CCF-8734-4015-81E8-F0EFAE98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tabs>
        <w:tab w:val="clear" w:pos="794"/>
        <w:tab w:val="num" w:pos="360"/>
      </w:tabs>
      <w:spacing w:before="60"/>
      <w:ind w:left="0" w:firstLine="0"/>
    </w:pPr>
  </w:style>
  <w:style w:type="paragraph" w:customStyle="1" w:styleId="F4-slovn">
    <w:name w:val="F4 - číslování"/>
    <w:basedOn w:val="F2-zkladn"/>
    <w:rsid w:val="009C3F13"/>
    <w:pPr>
      <w:numPr>
        <w:numId w:val="20"/>
      </w:numPr>
      <w:tabs>
        <w:tab w:val="clear" w:pos="794"/>
        <w:tab w:val="num" w:pos="360"/>
      </w:tabs>
      <w:spacing w:before="120" w:after="120"/>
      <w:ind w:left="0" w:firstLine="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basedOn w:val="Normln"/>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7386334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4611178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708995624">
      <w:bodyDiv w:val="1"/>
      <w:marLeft w:val="0"/>
      <w:marRight w:val="0"/>
      <w:marTop w:val="0"/>
      <w:marBottom w:val="0"/>
      <w:divBdr>
        <w:top w:val="none" w:sz="0" w:space="0" w:color="auto"/>
        <w:left w:val="none" w:sz="0" w:space="0" w:color="auto"/>
        <w:bottom w:val="none" w:sz="0" w:space="0" w:color="auto"/>
        <w:right w:val="none" w:sz="0" w:space="0" w:color="auto"/>
      </w:divBdr>
    </w:div>
    <w:div w:id="797527024">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987591888">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45381570">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44110086">
      <w:bodyDiv w:val="1"/>
      <w:marLeft w:val="0"/>
      <w:marRight w:val="0"/>
      <w:marTop w:val="0"/>
      <w:marBottom w:val="0"/>
      <w:divBdr>
        <w:top w:val="none" w:sz="0" w:space="0" w:color="auto"/>
        <w:left w:val="none" w:sz="0" w:space="0" w:color="auto"/>
        <w:bottom w:val="none" w:sz="0" w:space="0" w:color="auto"/>
        <w:right w:val="none" w:sz="0" w:space="0" w:color="auto"/>
      </w:divBdr>
    </w:div>
    <w:div w:id="1747144437">
      <w:bodyDiv w:val="1"/>
      <w:marLeft w:val="0"/>
      <w:marRight w:val="0"/>
      <w:marTop w:val="0"/>
      <w:marBottom w:val="0"/>
      <w:divBdr>
        <w:top w:val="none" w:sz="0" w:space="0" w:color="auto"/>
        <w:left w:val="none" w:sz="0" w:space="0" w:color="auto"/>
        <w:bottom w:val="none" w:sz="0" w:space="0" w:color="auto"/>
        <w:right w:val="none" w:sz="0" w:space="0" w:color="auto"/>
      </w:divBdr>
    </w:div>
    <w:div w:id="1831285278">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4119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mailto:eliska.krohova@crestcom.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630699\AppData\Local\Microsoft\Windows\INetCache\Content.Outlook\J6CY5KAH\2023%20Annual%20Analyst%20Surve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630699\AppData\Local\Microsoft\Windows\INetCache\Content.Outlook\J6CY5KAH\2023%20Annual%20Analyst%20Survey.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ESG_Hist!$AS$3</c:f>
              <c:strCache>
                <c:ptCount val="1"/>
                <c:pt idx="0">
                  <c:v>No</c:v>
                </c:pt>
              </c:strCache>
            </c:strRef>
          </c:tx>
          <c:spPr>
            <a:solidFill>
              <a:schemeClr val="accent1"/>
            </a:solidFill>
            <a:ln>
              <a:noFill/>
            </a:ln>
            <a:effectLst/>
          </c:spPr>
          <c:invertIfNegative val="0"/>
          <c:cat>
            <c:strRef>
              <c:f>ESG_Hist!$AT$2:$BA$2</c:f>
              <c:strCache>
                <c:ptCount val="8"/>
                <c:pt idx="0">
                  <c:v>Asia Pacific (ex China ex Japan)</c:v>
                </c:pt>
                <c:pt idx="1">
                  <c:v>China</c:v>
                </c:pt>
                <c:pt idx="2">
                  <c:v>EMEA/Latin America</c:v>
                </c:pt>
                <c:pt idx="3">
                  <c:v>Europe</c:v>
                </c:pt>
                <c:pt idx="4">
                  <c:v>Japan</c:v>
                </c:pt>
                <c:pt idx="5">
                  <c:v>North America</c:v>
                </c:pt>
                <c:pt idx="7">
                  <c:v>Global</c:v>
                </c:pt>
              </c:strCache>
            </c:strRef>
          </c:cat>
          <c:val>
            <c:numRef>
              <c:f>ESG_Hist!$AT$3:$BA$3</c:f>
              <c:numCache>
                <c:formatCode>0%</c:formatCode>
                <c:ptCount val="8"/>
                <c:pt idx="0" formatCode="0.00%">
                  <c:v>0.9285714285714286</c:v>
                </c:pt>
                <c:pt idx="1">
                  <c:v>0.92592592592592593</c:v>
                </c:pt>
                <c:pt idx="2">
                  <c:v>0.54545454545454541</c:v>
                </c:pt>
                <c:pt idx="3">
                  <c:v>0.9107142857142857</c:v>
                </c:pt>
                <c:pt idx="4">
                  <c:v>1</c:v>
                </c:pt>
                <c:pt idx="5">
                  <c:v>0.91891891891891897</c:v>
                </c:pt>
                <c:pt idx="7">
                  <c:v>0.89940828402366868</c:v>
                </c:pt>
              </c:numCache>
            </c:numRef>
          </c:val>
          <c:extLst>
            <c:ext xmlns:c16="http://schemas.microsoft.com/office/drawing/2014/chart" uri="{C3380CC4-5D6E-409C-BE32-E72D297353CC}">
              <c16:uniqueId val="{00000000-B8A7-4CE1-9D16-D66AEAB67C45}"/>
            </c:ext>
          </c:extLst>
        </c:ser>
        <c:ser>
          <c:idx val="1"/>
          <c:order val="1"/>
          <c:tx>
            <c:strRef>
              <c:f>ESG_Hist!$AS$4</c:f>
              <c:strCache>
                <c:ptCount val="1"/>
                <c:pt idx="0">
                  <c:v>Yes</c:v>
                </c:pt>
              </c:strCache>
            </c:strRef>
          </c:tx>
          <c:spPr>
            <a:solidFill>
              <a:schemeClr val="accent2"/>
            </a:solidFill>
            <a:ln>
              <a:noFill/>
            </a:ln>
            <a:effectLst/>
          </c:spPr>
          <c:invertIfNegative val="0"/>
          <c:cat>
            <c:strRef>
              <c:f>ESG_Hist!$AT$2:$BA$2</c:f>
              <c:strCache>
                <c:ptCount val="8"/>
                <c:pt idx="0">
                  <c:v>Asia Pacific (ex China ex Japan)</c:v>
                </c:pt>
                <c:pt idx="1">
                  <c:v>China</c:v>
                </c:pt>
                <c:pt idx="2">
                  <c:v>EMEA/Latin America</c:v>
                </c:pt>
                <c:pt idx="3">
                  <c:v>Europe</c:v>
                </c:pt>
                <c:pt idx="4">
                  <c:v>Japan</c:v>
                </c:pt>
                <c:pt idx="5">
                  <c:v>North America</c:v>
                </c:pt>
                <c:pt idx="7">
                  <c:v>Global</c:v>
                </c:pt>
              </c:strCache>
            </c:strRef>
          </c:cat>
          <c:val>
            <c:numRef>
              <c:f>ESG_Hist!$AT$4:$BA$4</c:f>
              <c:numCache>
                <c:formatCode>0%</c:formatCode>
                <c:ptCount val="8"/>
                <c:pt idx="0" formatCode="0.00%">
                  <c:v>7.1428571428571425E-2</c:v>
                </c:pt>
                <c:pt idx="1">
                  <c:v>7.407407407407407E-2</c:v>
                </c:pt>
                <c:pt idx="2">
                  <c:v>0.45454545454545453</c:v>
                </c:pt>
                <c:pt idx="3">
                  <c:v>8.9285714285714288E-2</c:v>
                </c:pt>
                <c:pt idx="4">
                  <c:v>0</c:v>
                </c:pt>
                <c:pt idx="5">
                  <c:v>8.1081081081081086E-2</c:v>
                </c:pt>
                <c:pt idx="7">
                  <c:v>0.10059171597633136</c:v>
                </c:pt>
              </c:numCache>
            </c:numRef>
          </c:val>
          <c:extLst>
            <c:ext xmlns:c16="http://schemas.microsoft.com/office/drawing/2014/chart" uri="{C3380CC4-5D6E-409C-BE32-E72D297353CC}">
              <c16:uniqueId val="{00000001-B8A7-4CE1-9D16-D66AEAB67C45}"/>
            </c:ext>
          </c:extLst>
        </c:ser>
        <c:dLbls>
          <c:showLegendKey val="0"/>
          <c:showVal val="0"/>
          <c:showCatName val="0"/>
          <c:showSerName val="0"/>
          <c:showPercent val="0"/>
          <c:showBubbleSize val="0"/>
        </c:dLbls>
        <c:gapWidth val="150"/>
        <c:overlap val="100"/>
        <c:axId val="1700006168"/>
        <c:axId val="1700011744"/>
      </c:barChart>
      <c:catAx>
        <c:axId val="17000061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solidFill>
                <a:latin typeface="+mn-lt"/>
                <a:ea typeface="+mn-ea"/>
                <a:cs typeface="+mn-cs"/>
              </a:defRPr>
            </a:pPr>
            <a:endParaRPr lang="cs-CZ"/>
          </a:p>
        </c:txPr>
        <c:crossAx val="1700011744"/>
        <c:crosses val="autoZero"/>
        <c:auto val="1"/>
        <c:lblAlgn val="ctr"/>
        <c:lblOffset val="100"/>
        <c:noMultiLvlLbl val="0"/>
      </c:catAx>
      <c:valAx>
        <c:axId val="1700011744"/>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solidFill>
                <a:latin typeface="+mn-lt"/>
                <a:ea typeface="+mn-ea"/>
                <a:cs typeface="+mn-cs"/>
              </a:defRPr>
            </a:pPr>
            <a:endParaRPr lang="cs-CZ"/>
          </a:p>
        </c:txPr>
        <c:crossAx val="1700006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ESG_Hist!$EC$3</c:f>
              <c:strCache>
                <c:ptCount val="1"/>
                <c:pt idx="0">
                  <c:v>Oceanic biodiversity</c:v>
                </c:pt>
              </c:strCache>
            </c:strRef>
          </c:tx>
          <c:spPr>
            <a:solidFill>
              <a:schemeClr val="accent1"/>
            </a:solidFill>
            <a:ln>
              <a:noFill/>
            </a:ln>
            <a:effectLst/>
          </c:spPr>
          <c:invertIfNegative val="0"/>
          <c:cat>
            <c:strRef>
              <c:f>ESG_Hist!$ED$2:$EK$2</c:f>
              <c:strCache>
                <c:ptCount val="8"/>
                <c:pt idx="0">
                  <c:v>Asia Pacific (ex China ex Japan)</c:v>
                </c:pt>
                <c:pt idx="1">
                  <c:v>China</c:v>
                </c:pt>
                <c:pt idx="2">
                  <c:v>EMEA/Latin America</c:v>
                </c:pt>
                <c:pt idx="3">
                  <c:v>Europe</c:v>
                </c:pt>
                <c:pt idx="4">
                  <c:v>Japan</c:v>
                </c:pt>
                <c:pt idx="5">
                  <c:v>North America</c:v>
                </c:pt>
                <c:pt idx="7">
                  <c:v>Global</c:v>
                </c:pt>
              </c:strCache>
            </c:strRef>
          </c:cat>
          <c:val>
            <c:numRef>
              <c:f>ESG_Hist!$ED$3:$EK$3</c:f>
              <c:numCache>
                <c:formatCode>0%</c:formatCode>
                <c:ptCount val="8"/>
                <c:pt idx="0">
                  <c:v>7.407407407407407E-2</c:v>
                </c:pt>
                <c:pt idx="1">
                  <c:v>4.5454545454545456E-2</c:v>
                </c:pt>
                <c:pt idx="2">
                  <c:v>0</c:v>
                </c:pt>
                <c:pt idx="3">
                  <c:v>5.5555555555555552E-2</c:v>
                </c:pt>
                <c:pt idx="4">
                  <c:v>0.1111111111111111</c:v>
                </c:pt>
                <c:pt idx="5">
                  <c:v>5.5555555555555552E-2</c:v>
                </c:pt>
                <c:pt idx="7">
                  <c:v>5.6603773584905662E-2</c:v>
                </c:pt>
              </c:numCache>
            </c:numRef>
          </c:val>
          <c:extLst>
            <c:ext xmlns:c16="http://schemas.microsoft.com/office/drawing/2014/chart" uri="{C3380CC4-5D6E-409C-BE32-E72D297353CC}">
              <c16:uniqueId val="{00000000-AF05-4F77-9D25-99E33FDB18C9}"/>
            </c:ext>
          </c:extLst>
        </c:ser>
        <c:ser>
          <c:idx val="1"/>
          <c:order val="1"/>
          <c:tx>
            <c:strRef>
              <c:f>ESG_Hist!$EC$4</c:f>
              <c:strCache>
                <c:ptCount val="1"/>
                <c:pt idx="0">
                  <c:v>Terrestrial biodiversity</c:v>
                </c:pt>
              </c:strCache>
            </c:strRef>
          </c:tx>
          <c:spPr>
            <a:solidFill>
              <a:schemeClr val="accent2"/>
            </a:solidFill>
            <a:ln>
              <a:noFill/>
            </a:ln>
            <a:effectLst/>
          </c:spPr>
          <c:invertIfNegative val="0"/>
          <c:cat>
            <c:strRef>
              <c:f>ESG_Hist!$ED$2:$EK$2</c:f>
              <c:strCache>
                <c:ptCount val="8"/>
                <c:pt idx="0">
                  <c:v>Asia Pacific (ex China ex Japan)</c:v>
                </c:pt>
                <c:pt idx="1">
                  <c:v>China</c:v>
                </c:pt>
                <c:pt idx="2">
                  <c:v>EMEA/Latin America</c:v>
                </c:pt>
                <c:pt idx="3">
                  <c:v>Europe</c:v>
                </c:pt>
                <c:pt idx="4">
                  <c:v>Japan</c:v>
                </c:pt>
                <c:pt idx="5">
                  <c:v>North America</c:v>
                </c:pt>
                <c:pt idx="7">
                  <c:v>Global</c:v>
                </c:pt>
              </c:strCache>
            </c:strRef>
          </c:cat>
          <c:val>
            <c:numRef>
              <c:f>ESG_Hist!$ED$4:$EK$4</c:f>
              <c:numCache>
                <c:formatCode>0%</c:formatCode>
                <c:ptCount val="8"/>
                <c:pt idx="0">
                  <c:v>7.407407407407407E-2</c:v>
                </c:pt>
                <c:pt idx="1">
                  <c:v>9.0909090909090912E-2</c:v>
                </c:pt>
                <c:pt idx="2">
                  <c:v>0</c:v>
                </c:pt>
                <c:pt idx="3">
                  <c:v>0.1111111111111111</c:v>
                </c:pt>
                <c:pt idx="4">
                  <c:v>0.1111111111111111</c:v>
                </c:pt>
                <c:pt idx="5">
                  <c:v>2.7777777777777776E-2</c:v>
                </c:pt>
                <c:pt idx="7">
                  <c:v>7.5471698113207544E-2</c:v>
                </c:pt>
              </c:numCache>
            </c:numRef>
          </c:val>
          <c:extLst>
            <c:ext xmlns:c16="http://schemas.microsoft.com/office/drawing/2014/chart" uri="{C3380CC4-5D6E-409C-BE32-E72D297353CC}">
              <c16:uniqueId val="{00000001-AF05-4F77-9D25-99E33FDB18C9}"/>
            </c:ext>
          </c:extLst>
        </c:ser>
        <c:ser>
          <c:idx val="2"/>
          <c:order val="2"/>
          <c:tx>
            <c:strRef>
              <c:f>ESG_Hist!$EC$5</c:f>
              <c:strCache>
                <c:ptCount val="1"/>
                <c:pt idx="0">
                  <c:v>Water usage</c:v>
                </c:pt>
              </c:strCache>
            </c:strRef>
          </c:tx>
          <c:spPr>
            <a:solidFill>
              <a:schemeClr val="accent3"/>
            </a:solidFill>
            <a:ln>
              <a:noFill/>
            </a:ln>
            <a:effectLst/>
          </c:spPr>
          <c:invertIfNegative val="0"/>
          <c:cat>
            <c:strRef>
              <c:f>ESG_Hist!$ED$2:$EK$2</c:f>
              <c:strCache>
                <c:ptCount val="8"/>
                <c:pt idx="0">
                  <c:v>Asia Pacific (ex China ex Japan)</c:v>
                </c:pt>
                <c:pt idx="1">
                  <c:v>China</c:v>
                </c:pt>
                <c:pt idx="2">
                  <c:v>EMEA/Latin America</c:v>
                </c:pt>
                <c:pt idx="3">
                  <c:v>Europe</c:v>
                </c:pt>
                <c:pt idx="4">
                  <c:v>Japan</c:v>
                </c:pt>
                <c:pt idx="5">
                  <c:v>North America</c:v>
                </c:pt>
                <c:pt idx="7">
                  <c:v>Global</c:v>
                </c:pt>
              </c:strCache>
            </c:strRef>
          </c:cat>
          <c:val>
            <c:numRef>
              <c:f>ESG_Hist!$ED$5:$EK$5</c:f>
              <c:numCache>
                <c:formatCode>0%</c:formatCode>
                <c:ptCount val="8"/>
                <c:pt idx="0">
                  <c:v>0.37037037037037035</c:v>
                </c:pt>
                <c:pt idx="1">
                  <c:v>0.40909090909090912</c:v>
                </c:pt>
                <c:pt idx="2">
                  <c:v>0.36363636363636365</c:v>
                </c:pt>
                <c:pt idx="3">
                  <c:v>0.35849056603773582</c:v>
                </c:pt>
                <c:pt idx="4">
                  <c:v>0.22222222222222221</c:v>
                </c:pt>
                <c:pt idx="5">
                  <c:v>0.16666666666666666</c:v>
                </c:pt>
                <c:pt idx="7">
                  <c:v>0.31645569620253167</c:v>
                </c:pt>
              </c:numCache>
            </c:numRef>
          </c:val>
          <c:extLst>
            <c:ext xmlns:c16="http://schemas.microsoft.com/office/drawing/2014/chart" uri="{C3380CC4-5D6E-409C-BE32-E72D297353CC}">
              <c16:uniqueId val="{00000002-AF05-4F77-9D25-99E33FDB18C9}"/>
            </c:ext>
          </c:extLst>
        </c:ser>
        <c:ser>
          <c:idx val="3"/>
          <c:order val="3"/>
          <c:tx>
            <c:strRef>
              <c:f>ESG_Hist!$EC$6</c:f>
              <c:strCache>
                <c:ptCount val="1"/>
                <c:pt idx="0">
                  <c:v>Waste created</c:v>
                </c:pt>
              </c:strCache>
            </c:strRef>
          </c:tx>
          <c:spPr>
            <a:solidFill>
              <a:schemeClr val="accent4"/>
            </a:solidFill>
            <a:ln>
              <a:noFill/>
            </a:ln>
            <a:effectLst/>
          </c:spPr>
          <c:invertIfNegative val="0"/>
          <c:cat>
            <c:strRef>
              <c:f>ESG_Hist!$ED$2:$EK$2</c:f>
              <c:strCache>
                <c:ptCount val="8"/>
                <c:pt idx="0">
                  <c:v>Asia Pacific (ex China ex Japan)</c:v>
                </c:pt>
                <c:pt idx="1">
                  <c:v>China</c:v>
                </c:pt>
                <c:pt idx="2">
                  <c:v>EMEA/Latin America</c:v>
                </c:pt>
                <c:pt idx="3">
                  <c:v>Europe</c:v>
                </c:pt>
                <c:pt idx="4">
                  <c:v>Japan</c:v>
                </c:pt>
                <c:pt idx="5">
                  <c:v>North America</c:v>
                </c:pt>
                <c:pt idx="7">
                  <c:v>Global</c:v>
                </c:pt>
              </c:strCache>
            </c:strRef>
          </c:cat>
          <c:val>
            <c:numRef>
              <c:f>ESG_Hist!$ED$6:$EK$6</c:f>
              <c:numCache>
                <c:formatCode>0%</c:formatCode>
                <c:ptCount val="8"/>
                <c:pt idx="0">
                  <c:v>0.40740740740740738</c:v>
                </c:pt>
                <c:pt idx="1">
                  <c:v>0.40909090909090912</c:v>
                </c:pt>
                <c:pt idx="2">
                  <c:v>0.18181818181818182</c:v>
                </c:pt>
                <c:pt idx="3">
                  <c:v>0.44444444444444442</c:v>
                </c:pt>
                <c:pt idx="4">
                  <c:v>0.33333333333333331</c:v>
                </c:pt>
                <c:pt idx="5">
                  <c:v>0.19444444444444445</c:v>
                </c:pt>
                <c:pt idx="7">
                  <c:v>0.3522012578616352</c:v>
                </c:pt>
              </c:numCache>
            </c:numRef>
          </c:val>
          <c:extLst>
            <c:ext xmlns:c16="http://schemas.microsoft.com/office/drawing/2014/chart" uri="{C3380CC4-5D6E-409C-BE32-E72D297353CC}">
              <c16:uniqueId val="{00000003-AF05-4F77-9D25-99E33FDB18C9}"/>
            </c:ext>
          </c:extLst>
        </c:ser>
        <c:dLbls>
          <c:showLegendKey val="0"/>
          <c:showVal val="0"/>
          <c:showCatName val="0"/>
          <c:showSerName val="0"/>
          <c:showPercent val="0"/>
          <c:showBubbleSize val="0"/>
        </c:dLbls>
        <c:gapWidth val="182"/>
        <c:axId val="782277936"/>
        <c:axId val="782281872"/>
      </c:barChart>
      <c:catAx>
        <c:axId val="782277936"/>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solidFill>
                <a:latin typeface="+mn-lt"/>
                <a:ea typeface="+mn-ea"/>
                <a:cs typeface="+mn-cs"/>
              </a:defRPr>
            </a:pPr>
            <a:endParaRPr lang="cs-CZ"/>
          </a:p>
        </c:txPr>
        <c:crossAx val="782281872"/>
        <c:crosses val="autoZero"/>
        <c:auto val="1"/>
        <c:lblAlgn val="ctr"/>
        <c:lblOffset val="100"/>
        <c:noMultiLvlLbl val="0"/>
      </c:catAx>
      <c:valAx>
        <c:axId val="7822818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330" b="0" i="0" u="none" strike="noStrike" kern="1200" baseline="0">
                    <a:solidFill>
                      <a:schemeClr val="tx1"/>
                    </a:solidFill>
                    <a:latin typeface="+mn-lt"/>
                    <a:ea typeface="+mn-ea"/>
                    <a:cs typeface="+mn-cs"/>
                  </a:defRPr>
                </a:pPr>
                <a:r>
                  <a:rPr lang="en-GB"/>
                  <a:t>Proportion of analysts expecting companies to reduce impact on:</a:t>
                </a:r>
              </a:p>
            </c:rich>
          </c:tx>
          <c:layout>
            <c:manualLayout>
              <c:xMode val="edge"/>
              <c:yMode val="edge"/>
              <c:x val="0.18914473748312902"/>
              <c:y val="0.70984036204523138"/>
            </c:manualLayout>
          </c:layout>
          <c:overlay val="0"/>
          <c:spPr>
            <a:noFill/>
            <a:ln>
              <a:noFill/>
            </a:ln>
            <a:effectLst/>
          </c:spPr>
          <c:txPr>
            <a:bodyPr rot="0" spcFirstLastPara="1" vertOverflow="ellipsis" vert="horz" wrap="square" anchor="ctr" anchorCtr="1"/>
            <a:lstStyle/>
            <a:p>
              <a:pPr>
                <a:defRPr sz="1330" b="0" i="0" u="none" strike="noStrike" kern="1200" baseline="0">
                  <a:solidFill>
                    <a:schemeClr val="tx1"/>
                  </a:solidFill>
                  <a:latin typeface="+mn-lt"/>
                  <a:ea typeface="+mn-ea"/>
                  <a:cs typeface="+mn-cs"/>
                </a:defRPr>
              </a:pPr>
              <a:endParaRPr lang="cs-CZ"/>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solidFill>
                <a:latin typeface="+mn-lt"/>
                <a:ea typeface="+mn-ea"/>
                <a:cs typeface="+mn-cs"/>
              </a:defRPr>
            </a:pPr>
            <a:endParaRPr lang="cs-CZ"/>
          </a:p>
        </c:txPr>
        <c:crossAx val="782277936"/>
        <c:crosses val="autoZero"/>
        <c:crossBetween val="between"/>
      </c:valAx>
      <c:spPr>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a:noFill/>
            </a14:hiddenLine>
          </a:ext>
        </a:extLst>
      </c:spPr>
    </c:plotArea>
    <c:legend>
      <c:legendPos val="b"/>
      <c:overlay val="0"/>
      <c:spPr>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a:noFill/>
            </a14:hiddenLine>
          </a:ext>
        </a:extLst>
      </c:spPr>
      <c:txPr>
        <a:bodyPr rot="0" spcFirstLastPara="1" vertOverflow="ellipsis" vert="horz" wrap="square" anchor="ctr" anchorCtr="1"/>
        <a:lstStyle/>
        <a:p>
          <a:pPr>
            <a:defRPr sz="1197" b="0" i="0" u="none" strike="noStrike" kern="1200" baseline="0">
              <a:solidFill>
                <a:schemeClr val="tx1"/>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20242B">
              <a:lumMod val="15000"/>
              <a:lumOff val="85000"/>
            </a:srgbClr>
          </a:solidFill>
          <a:round/>
        </a14:hiddenLine>
      </a:ext>
    </a:extLst>
  </c:spPr>
  <c:txPr>
    <a:bodyPr/>
    <a:lstStyle/>
    <a:p>
      <a:pPr>
        <a:defRPr>
          <a:solidFill>
            <a:schemeClr val="tx1"/>
          </a:solidFill>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D77D8-9B41-4084-9A70-F7D9BE35A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2076</Words>
  <Characters>12252</Characters>
  <Application>Microsoft Office Word</Application>
  <DocSecurity>0</DocSecurity>
  <Lines>102</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14300</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4</cp:revision>
  <cp:lastPrinted>2015-11-30T16:29:00Z</cp:lastPrinted>
  <dcterms:created xsi:type="dcterms:W3CDTF">2023-02-14T13:35:00Z</dcterms:created>
  <dcterms:modified xsi:type="dcterms:W3CDTF">2023-02-14T14:06:00Z</dcterms:modified>
</cp:coreProperties>
</file>